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"/>
        <w:gridCol w:w="8976"/>
      </w:tblGrid>
      <w:tr w:rsidR="00137FE1" w:rsidTr="00B73DCC">
        <w:trPr>
          <w:trHeight w:val="1171"/>
        </w:trPr>
        <w:tc>
          <w:tcPr>
            <w:tcW w:w="1010" w:type="dxa"/>
          </w:tcPr>
          <w:p w:rsidR="00137FE1" w:rsidRPr="00CA5491" w:rsidRDefault="00CA5491" w:rsidP="00B73DCC">
            <w:pPr>
              <w:rPr>
                <w:b/>
              </w:rPr>
            </w:pPr>
            <w:r w:rsidRPr="00CA5491">
              <w:rPr>
                <w:b/>
              </w:rPr>
              <w:t>Q1</w:t>
            </w:r>
          </w:p>
        </w:tc>
        <w:tc>
          <w:tcPr>
            <w:tcW w:w="13225" w:type="dxa"/>
          </w:tcPr>
          <w:p w:rsidR="00137FE1" w:rsidRDefault="00137FE1" w:rsidP="00B73DCC">
            <w:r>
              <w:t>A Slice of Life, a UK based pizza delivery firm</w:t>
            </w:r>
            <w:r w:rsidR="00CA5491">
              <w:t>,</w:t>
            </w:r>
            <w:r>
              <w:t xml:space="preserve"> is loo</w:t>
            </w:r>
            <w:r w:rsidR="00CA5491">
              <w:t xml:space="preserve">king to expand internationally. Its choices are either to expand </w:t>
            </w:r>
            <w:r>
              <w:t>into the EU</w:t>
            </w:r>
            <w:r w:rsidR="00CA5491">
              <w:t>,</w:t>
            </w:r>
            <w:r>
              <w:t xml:space="preserve"> at a cost of £15m</w:t>
            </w:r>
            <w:r w:rsidR="00CA5491">
              <w:t>,</w:t>
            </w:r>
            <w:r>
              <w:t xml:space="preserve"> or alternatively the USA</w:t>
            </w:r>
            <w:r w:rsidR="004756C8">
              <w:t>,</w:t>
            </w:r>
            <w:r>
              <w:t xml:space="preserve"> at a slightly</w:t>
            </w:r>
            <w:r w:rsidR="004756C8">
              <w:t xml:space="preserve"> </w:t>
            </w:r>
            <w:r>
              <w:t xml:space="preserve">higher cost of £22m. </w:t>
            </w:r>
            <w:r w:rsidR="004756C8">
              <w:t xml:space="preserve">Its choices in the EU are </w:t>
            </w:r>
            <w:r>
              <w:t>Germany or Spain</w:t>
            </w:r>
            <w:r w:rsidR="004756C8">
              <w:t>. In the</w:t>
            </w:r>
            <w:r>
              <w:t xml:space="preserve"> USA </w:t>
            </w:r>
            <w:r w:rsidR="004756C8">
              <w:t>it would have the choice of the east or w</w:t>
            </w:r>
            <w:r>
              <w:t xml:space="preserve">est coast. </w:t>
            </w:r>
            <w:r w:rsidR="00C83E4A">
              <w:t>The expected returns of the two options are detailed below, together with the chances of a successful expansion.</w:t>
            </w:r>
          </w:p>
          <w:p w:rsidR="00137FE1" w:rsidRDefault="00137FE1" w:rsidP="00B73DCC">
            <w:pPr>
              <w:pStyle w:val="Caption"/>
              <w:keepNext/>
              <w:jc w:val="center"/>
            </w:pPr>
            <w:r>
              <w:t xml:space="preserve">Figure </w:t>
            </w:r>
            <w:r w:rsidR="006F46A9">
              <w:fldChar w:fldCharType="begin"/>
            </w:r>
            <w:r w:rsidR="006F46A9">
              <w:instrText xml:space="preserve"> SEQ Figure \* ARABIC </w:instrText>
            </w:r>
            <w:r w:rsidR="006F46A9">
              <w:fldChar w:fldCharType="separate"/>
            </w:r>
            <w:r>
              <w:rPr>
                <w:noProof/>
              </w:rPr>
              <w:t>1</w:t>
            </w:r>
            <w:r w:rsidR="006F46A9">
              <w:rPr>
                <w:noProof/>
              </w:rPr>
              <w:fldChar w:fldCharType="end"/>
            </w:r>
            <w:r>
              <w:t xml:space="preserve"> - prob</w:t>
            </w:r>
            <w:r w:rsidR="0036179E">
              <w:t>abilities and expected returns (</w:t>
            </w:r>
            <w:proofErr w:type="spellStart"/>
            <w:r w:rsidR="0036179E">
              <w:t>mn</w:t>
            </w:r>
            <w:proofErr w:type="spellEnd"/>
            <w:r w:rsidR="0036179E">
              <w:t>)</w:t>
            </w:r>
          </w:p>
          <w:p w:rsidR="00137FE1" w:rsidRDefault="0036179E" w:rsidP="00B73DCC">
            <w:pPr>
              <w:jc w:val="center"/>
            </w:pPr>
            <w:r>
              <w:object w:dxaOrig="4058" w:dyaOrig="20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99.7pt;height:100.8pt" o:ole="">
                  <v:imagedata r:id="rId8" o:title=""/>
                </v:shape>
                <o:OLEObject Type="Embed" ProgID="Excel.Sheet.12" ShapeID="_x0000_i1026" DrawAspect="Content" ObjectID="_1530091544" r:id="rId9"/>
              </w:object>
            </w:r>
          </w:p>
          <w:p w:rsidR="00137FE1" w:rsidRPr="00127955" w:rsidRDefault="004756C8" w:rsidP="00FF1BB3">
            <w:r>
              <w:rPr>
                <w:b/>
              </w:rPr>
              <w:t xml:space="preserve">Activity: </w:t>
            </w:r>
            <w:r w:rsidR="00137FE1">
              <w:t>Using the information above</w:t>
            </w:r>
            <w:r w:rsidR="00FF1BB3">
              <w:t xml:space="preserve">, calculate </w:t>
            </w:r>
            <w:r w:rsidR="00545D5F">
              <w:t xml:space="preserve">the </w:t>
            </w:r>
            <w:r w:rsidR="00FF1BB3">
              <w:t xml:space="preserve">net gain for all 4 </w:t>
            </w:r>
            <w:r w:rsidR="00545D5F">
              <w:t>expansion options</w:t>
            </w:r>
          </w:p>
        </w:tc>
      </w:tr>
      <w:tr w:rsidR="00137FE1" w:rsidTr="00B73DCC">
        <w:trPr>
          <w:trHeight w:val="1494"/>
        </w:trPr>
        <w:tc>
          <w:tcPr>
            <w:tcW w:w="14234" w:type="dxa"/>
            <w:gridSpan w:val="2"/>
          </w:tcPr>
          <w:p w:rsidR="00137FE1" w:rsidRDefault="00137FE1" w:rsidP="00B73DCC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:rsidR="00137FE1" w:rsidRDefault="00137FE1" w:rsidP="00B73DCC">
            <w:pPr>
              <w:rPr>
                <w:u w:val="single"/>
              </w:rPr>
            </w:pPr>
          </w:p>
          <w:p w:rsidR="00846D74" w:rsidRDefault="00846D74" w:rsidP="00B73DCC">
            <w:pPr>
              <w:rPr>
                <w:u w:val="single"/>
              </w:rPr>
            </w:pPr>
          </w:p>
          <w:p w:rsidR="00846D74" w:rsidRDefault="00846D74" w:rsidP="00B73DCC">
            <w:pPr>
              <w:rPr>
                <w:u w:val="single"/>
              </w:rPr>
            </w:pPr>
          </w:p>
          <w:p w:rsidR="00846D74" w:rsidRDefault="00846D74" w:rsidP="00B73DCC">
            <w:pPr>
              <w:rPr>
                <w:u w:val="single"/>
              </w:rPr>
            </w:pPr>
          </w:p>
          <w:p w:rsidR="00846D74" w:rsidRDefault="00846D74" w:rsidP="00B73DCC">
            <w:pPr>
              <w:rPr>
                <w:u w:val="single"/>
              </w:rPr>
            </w:pPr>
          </w:p>
          <w:p w:rsidR="00846D74" w:rsidRDefault="00846D74" w:rsidP="00B73DCC">
            <w:pPr>
              <w:rPr>
                <w:u w:val="single"/>
              </w:rPr>
            </w:pPr>
          </w:p>
          <w:p w:rsidR="00846D74" w:rsidRDefault="00846D74" w:rsidP="00B73DCC">
            <w:pPr>
              <w:rPr>
                <w:u w:val="single"/>
              </w:rPr>
            </w:pPr>
          </w:p>
          <w:p w:rsidR="00846D74" w:rsidRDefault="00846D74" w:rsidP="00B73DCC">
            <w:pPr>
              <w:rPr>
                <w:u w:val="single"/>
              </w:rPr>
            </w:pPr>
          </w:p>
          <w:p w:rsidR="00846D74" w:rsidRDefault="00846D74" w:rsidP="00B73DCC">
            <w:pPr>
              <w:rPr>
                <w:u w:val="single"/>
              </w:rPr>
            </w:pPr>
          </w:p>
          <w:p w:rsidR="007F4860" w:rsidRDefault="007F4860" w:rsidP="00B73DCC">
            <w:pPr>
              <w:rPr>
                <w:u w:val="single"/>
              </w:rPr>
            </w:pPr>
          </w:p>
          <w:p w:rsidR="007F4860" w:rsidRDefault="007F4860" w:rsidP="00B73DCC">
            <w:pPr>
              <w:rPr>
                <w:u w:val="single"/>
              </w:rPr>
            </w:pPr>
          </w:p>
          <w:p w:rsidR="007F4860" w:rsidRDefault="007F4860" w:rsidP="00B73DCC">
            <w:pPr>
              <w:rPr>
                <w:u w:val="single"/>
              </w:rPr>
            </w:pPr>
          </w:p>
          <w:p w:rsidR="007F4860" w:rsidRDefault="007F4860" w:rsidP="00B73DCC">
            <w:pPr>
              <w:rPr>
                <w:u w:val="single"/>
              </w:rPr>
            </w:pPr>
          </w:p>
          <w:p w:rsidR="007F4860" w:rsidRDefault="007F4860" w:rsidP="00B73DCC">
            <w:pPr>
              <w:rPr>
                <w:u w:val="single"/>
              </w:rPr>
            </w:pPr>
          </w:p>
          <w:p w:rsidR="007F4860" w:rsidRDefault="007F4860" w:rsidP="00B73DCC">
            <w:pPr>
              <w:rPr>
                <w:u w:val="single"/>
              </w:rPr>
            </w:pPr>
          </w:p>
          <w:p w:rsidR="007F4860" w:rsidRDefault="007F4860" w:rsidP="00B73DCC">
            <w:pPr>
              <w:rPr>
                <w:u w:val="single"/>
              </w:rPr>
            </w:pPr>
          </w:p>
          <w:p w:rsidR="007F4860" w:rsidRDefault="007F4860" w:rsidP="00B73DCC">
            <w:pPr>
              <w:rPr>
                <w:u w:val="single"/>
              </w:rPr>
            </w:pPr>
          </w:p>
          <w:p w:rsidR="007F4860" w:rsidRDefault="007F4860" w:rsidP="00B73DCC">
            <w:pPr>
              <w:rPr>
                <w:u w:val="single"/>
              </w:rPr>
            </w:pPr>
          </w:p>
          <w:p w:rsidR="007F4860" w:rsidRDefault="007F4860" w:rsidP="00B73DCC">
            <w:pPr>
              <w:rPr>
                <w:u w:val="single"/>
              </w:rPr>
            </w:pPr>
          </w:p>
          <w:p w:rsidR="00137FE1" w:rsidRPr="009A120F" w:rsidRDefault="00137FE1" w:rsidP="00B73DCC">
            <w:pPr>
              <w:rPr>
                <w:b/>
                <w:i/>
              </w:rPr>
            </w:pPr>
          </w:p>
        </w:tc>
      </w:tr>
    </w:tbl>
    <w:p w:rsidR="00EE3400" w:rsidRDefault="00EE3400">
      <w:pPr>
        <w:sectPr w:rsidR="00EE3400" w:rsidSect="0036404A">
          <w:headerReference w:type="default" r:id="rId10"/>
          <w:footerReference w:type="default" r:id="rId11"/>
          <w:pgSz w:w="11906" w:h="16838"/>
          <w:pgMar w:top="1191" w:right="1247" w:bottom="1361" w:left="1134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207"/>
      </w:tblGrid>
      <w:tr w:rsidR="00803BA0" w:rsidTr="0036179E">
        <w:trPr>
          <w:trHeight w:val="1171"/>
        </w:trPr>
        <w:tc>
          <w:tcPr>
            <w:tcW w:w="534" w:type="dxa"/>
          </w:tcPr>
          <w:p w:rsidR="00803BA0" w:rsidRPr="006127B8" w:rsidRDefault="00803BA0" w:rsidP="00B73DCC">
            <w:pPr>
              <w:rPr>
                <w:b/>
              </w:rPr>
            </w:pPr>
            <w:r w:rsidRPr="006127B8">
              <w:rPr>
                <w:b/>
              </w:rPr>
              <w:lastRenderedPageBreak/>
              <w:t>Q2</w:t>
            </w:r>
          </w:p>
        </w:tc>
        <w:tc>
          <w:tcPr>
            <w:tcW w:w="9207" w:type="dxa"/>
          </w:tcPr>
          <w:p w:rsidR="00E60554" w:rsidRDefault="00E60554" w:rsidP="00E60554">
            <w:r>
              <w:t xml:space="preserve">The Eagle Inn, a hotel in California, USA, is thinking of expanding its operations. It has $850,000 to invest in two possible options: investing in its current facilities or increasing capacity. If it decides to invest internally it is faced with an additional decision; it could either re-vamp its kitchen or revamp its sports club. If it decides to expand its capacity then an additional $175,000 legal expense would need to be paid. The probable outcomes and the expected returns for each option are detailed in the figure below. </w:t>
            </w:r>
          </w:p>
          <w:p w:rsidR="00803BA0" w:rsidRDefault="0036179E" w:rsidP="00B73DCC">
            <w:pPr>
              <w:keepNext/>
              <w:jc w:val="center"/>
            </w:pPr>
            <w:r>
              <w:object w:dxaOrig="8624" w:dyaOrig="1748">
                <v:shape id="_x0000_i1025" type="#_x0000_t75" style="width:453.3pt;height:92.05pt" o:ole="">
                  <v:imagedata r:id="rId12" o:title=""/>
                </v:shape>
                <o:OLEObject Type="Embed" ProgID="Excel.Sheet.12" ShapeID="_x0000_i1025" DrawAspect="Content" ObjectID="_1530091545" r:id="rId13"/>
              </w:object>
            </w:r>
          </w:p>
          <w:p w:rsidR="00803BA0" w:rsidRDefault="00803BA0" w:rsidP="00B73DCC">
            <w:pPr>
              <w:pStyle w:val="Caption"/>
              <w:jc w:val="center"/>
            </w:pPr>
            <w:r>
              <w:t xml:space="preserve">Figure </w:t>
            </w:r>
            <w:r w:rsidR="0036179E">
              <w:t>1</w:t>
            </w:r>
            <w:r>
              <w:t xml:space="preserve"> - expected returns and probabilities</w:t>
            </w:r>
          </w:p>
          <w:p w:rsidR="00803BA0" w:rsidRPr="00127955" w:rsidRDefault="004108F5" w:rsidP="00B73DCC">
            <w:r>
              <w:rPr>
                <w:b/>
              </w:rPr>
              <w:t xml:space="preserve">Activity: </w:t>
            </w:r>
            <w:r w:rsidR="00803BA0">
              <w:t>Construct a decision tree and calculate the expected and net gains for each option, clearly stating which option is most financially rewarding base</w:t>
            </w:r>
            <w:r w:rsidR="0036179E">
              <w:t>d on the decision tree analysis</w:t>
            </w:r>
            <w:r w:rsidR="00803BA0">
              <w:t xml:space="preserve"> </w:t>
            </w:r>
          </w:p>
        </w:tc>
      </w:tr>
      <w:tr w:rsidR="00803BA0" w:rsidTr="0036179E">
        <w:trPr>
          <w:trHeight w:val="1494"/>
        </w:trPr>
        <w:tc>
          <w:tcPr>
            <w:tcW w:w="9741" w:type="dxa"/>
            <w:gridSpan w:val="2"/>
          </w:tcPr>
          <w:p w:rsidR="00803BA0" w:rsidRDefault="00803BA0" w:rsidP="00B73DCC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:rsidR="00803BA0" w:rsidRDefault="00803BA0" w:rsidP="00B73DCC">
            <w:pPr>
              <w:rPr>
                <w:b/>
                <w:i/>
              </w:rPr>
            </w:pPr>
          </w:p>
          <w:p w:rsidR="00803BA0" w:rsidRDefault="00803BA0" w:rsidP="00B73DCC">
            <w:pPr>
              <w:rPr>
                <w:b/>
                <w:i/>
              </w:rPr>
            </w:pPr>
          </w:p>
          <w:p w:rsidR="00545D5F" w:rsidRDefault="00545D5F" w:rsidP="00B73DCC">
            <w:pPr>
              <w:rPr>
                <w:b/>
                <w:i/>
              </w:rPr>
            </w:pPr>
          </w:p>
          <w:p w:rsidR="00545D5F" w:rsidRDefault="00545D5F" w:rsidP="00B73DCC">
            <w:pPr>
              <w:rPr>
                <w:b/>
                <w:i/>
              </w:rPr>
            </w:pPr>
          </w:p>
          <w:p w:rsidR="00545D5F" w:rsidRDefault="00545D5F" w:rsidP="00B73DCC">
            <w:pPr>
              <w:rPr>
                <w:b/>
                <w:i/>
              </w:rPr>
            </w:pPr>
          </w:p>
          <w:p w:rsidR="00545D5F" w:rsidRDefault="00545D5F" w:rsidP="00B73DCC">
            <w:pPr>
              <w:rPr>
                <w:b/>
                <w:i/>
              </w:rPr>
            </w:pPr>
          </w:p>
          <w:p w:rsidR="00803BA0" w:rsidRDefault="00803BA0" w:rsidP="00B73DCC">
            <w:pPr>
              <w:rPr>
                <w:b/>
                <w:i/>
              </w:rPr>
            </w:pPr>
          </w:p>
          <w:p w:rsidR="00803BA0" w:rsidRDefault="00803BA0" w:rsidP="00B73DCC">
            <w:pPr>
              <w:rPr>
                <w:b/>
                <w:i/>
              </w:rPr>
            </w:pPr>
          </w:p>
          <w:p w:rsidR="00803BA0" w:rsidRDefault="00803BA0" w:rsidP="00B73DCC">
            <w:pPr>
              <w:rPr>
                <w:b/>
                <w:i/>
              </w:rPr>
            </w:pPr>
          </w:p>
          <w:p w:rsidR="00803BA0" w:rsidRDefault="00803BA0" w:rsidP="00B73DCC">
            <w:pPr>
              <w:rPr>
                <w:b/>
                <w:i/>
              </w:rPr>
            </w:pPr>
          </w:p>
          <w:p w:rsidR="00803BA0" w:rsidRDefault="00803BA0" w:rsidP="00B73DCC">
            <w:pPr>
              <w:rPr>
                <w:b/>
                <w:i/>
              </w:rPr>
            </w:pPr>
          </w:p>
          <w:p w:rsidR="00803BA0" w:rsidRDefault="00803BA0" w:rsidP="00B73DCC">
            <w:pPr>
              <w:rPr>
                <w:b/>
                <w:i/>
              </w:rPr>
            </w:pPr>
          </w:p>
          <w:p w:rsidR="00803BA0" w:rsidRDefault="00803BA0" w:rsidP="00B73DCC">
            <w:pPr>
              <w:rPr>
                <w:b/>
                <w:i/>
              </w:rPr>
            </w:pPr>
          </w:p>
          <w:p w:rsidR="00803BA0" w:rsidRDefault="00803BA0" w:rsidP="00B73DCC">
            <w:pPr>
              <w:rPr>
                <w:b/>
                <w:i/>
              </w:rPr>
            </w:pPr>
          </w:p>
          <w:p w:rsidR="00803BA0" w:rsidRDefault="00803BA0" w:rsidP="00B73DCC">
            <w:pPr>
              <w:rPr>
                <w:b/>
                <w:i/>
              </w:rPr>
            </w:pPr>
          </w:p>
          <w:p w:rsidR="00803BA0" w:rsidRDefault="00803BA0" w:rsidP="00B73DCC">
            <w:pPr>
              <w:rPr>
                <w:b/>
                <w:i/>
              </w:rPr>
            </w:pPr>
          </w:p>
          <w:p w:rsidR="00803BA0" w:rsidRDefault="00803BA0" w:rsidP="00B73DCC">
            <w:pPr>
              <w:rPr>
                <w:b/>
                <w:i/>
              </w:rPr>
            </w:pPr>
          </w:p>
          <w:p w:rsidR="001E57CC" w:rsidRPr="009A120F" w:rsidRDefault="001E57CC" w:rsidP="00B73DCC">
            <w:pPr>
              <w:rPr>
                <w:b/>
                <w:i/>
              </w:rPr>
            </w:pPr>
          </w:p>
        </w:tc>
      </w:tr>
    </w:tbl>
    <w:p w:rsidR="00724757" w:rsidRDefault="00724757"/>
    <w:sectPr w:rsidR="00724757" w:rsidSect="00545D5F">
      <w:pgSz w:w="11906" w:h="16838"/>
      <w:pgMar w:top="1191" w:right="1247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6A9" w:rsidRDefault="006F46A9" w:rsidP="006A3E25">
      <w:pPr>
        <w:spacing w:before="0" w:after="0"/>
      </w:pPr>
      <w:r>
        <w:separator/>
      </w:r>
    </w:p>
  </w:endnote>
  <w:endnote w:type="continuationSeparator" w:id="0">
    <w:p w:rsidR="006F46A9" w:rsidRDefault="006F46A9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54" w:type="dxa"/>
      <w:tblLook w:val="04A0" w:firstRow="1" w:lastRow="0" w:firstColumn="1" w:lastColumn="0" w:noHBand="0" w:noVBand="1"/>
    </w:tblPr>
    <w:tblGrid>
      <w:gridCol w:w="7155"/>
      <w:gridCol w:w="2799"/>
    </w:tblGrid>
    <w:tr w:rsidR="007C6DE7" w:rsidTr="00B8511E">
      <w:trPr>
        <w:trHeight w:val="943"/>
      </w:trPr>
      <w:tc>
        <w:tcPr>
          <w:tcW w:w="7155" w:type="dxa"/>
        </w:tcPr>
        <w:p w:rsidR="007C6DE7" w:rsidRDefault="00490137">
          <w:pPr>
            <w:pStyle w:val="Foo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 xml:space="preserve">Edexcel </w:t>
          </w:r>
          <w:r w:rsidR="007C6DE7" w:rsidRPr="00F801EC">
            <w:rPr>
              <w:rFonts w:ascii="Arial Narrow" w:hAnsi="Arial Narrow"/>
              <w:b/>
            </w:rPr>
            <w:t>A Level Business Calculation Practice Sheets</w:t>
          </w:r>
          <w:r w:rsidR="00245166">
            <w:rPr>
              <w:rFonts w:ascii="Arial Narrow" w:hAnsi="Arial Narrow"/>
              <w:b/>
            </w:rPr>
            <w:t xml:space="preserve"> (Year 2</w:t>
          </w:r>
          <w:r w:rsidR="007C6DE7">
            <w:rPr>
              <w:rFonts w:ascii="Arial Narrow" w:hAnsi="Arial Narrow"/>
              <w:b/>
            </w:rPr>
            <w:t>)</w:t>
          </w:r>
        </w:p>
        <w:p w:rsidR="007C6DE7" w:rsidRPr="00F801EC" w:rsidRDefault="007C6DE7">
          <w:pPr>
            <w:pStyle w:val="Footer"/>
            <w:rPr>
              <w:rFonts w:ascii="Arial Narrow" w:hAnsi="Arial Narrow"/>
              <w:i/>
            </w:rPr>
          </w:pPr>
          <w:r w:rsidRPr="00F801EC">
            <w:rPr>
              <w:rFonts w:ascii="Arial Narrow" w:hAnsi="Arial Narrow"/>
              <w:i/>
            </w:rPr>
            <w:t>Remember – always show your workings!</w:t>
          </w:r>
        </w:p>
      </w:tc>
      <w:tc>
        <w:tcPr>
          <w:tcW w:w="2799" w:type="dxa"/>
        </w:tcPr>
        <w:p w:rsidR="007C6DE7" w:rsidRPr="00360A5E" w:rsidRDefault="007C6DE7" w:rsidP="009A120F">
          <w:pPr>
            <w:pStyle w:val="Footer"/>
            <w:jc w:val="right"/>
            <w:rPr>
              <w:rFonts w:ascii="Arial Narrow" w:hAnsi="Arial Narrow"/>
            </w:rPr>
          </w:pPr>
          <w:r w:rsidRPr="00360A5E">
            <w:rPr>
              <w:rFonts w:ascii="Arial Narrow" w:hAnsi="Arial Narrow"/>
            </w:rPr>
            <w:t>© Tutor2u Limited 201</w:t>
          </w:r>
          <w:r w:rsidR="00490137">
            <w:rPr>
              <w:rFonts w:ascii="Arial Narrow" w:hAnsi="Arial Narrow"/>
            </w:rPr>
            <w:t>6</w:t>
          </w:r>
          <w:r>
            <w:rPr>
              <w:rFonts w:ascii="Arial Narrow" w:hAnsi="Arial Narrow"/>
            </w:rPr>
            <w:t xml:space="preserve">  </w:t>
          </w:r>
          <w:hyperlink r:id="rId1" w:history="1">
            <w:r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:rsidR="007C6DE7" w:rsidRDefault="007C6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6A9" w:rsidRDefault="006F46A9" w:rsidP="006A3E25">
      <w:pPr>
        <w:spacing w:before="0" w:after="0"/>
      </w:pPr>
      <w:r>
        <w:separator/>
      </w:r>
    </w:p>
  </w:footnote>
  <w:footnote w:type="continuationSeparator" w:id="0">
    <w:p w:rsidR="006F46A9" w:rsidRDefault="006F46A9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E7" w:rsidRPr="006A3E25" w:rsidRDefault="00846D74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Topic: Decision trees (2)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8C3"/>
    <w:multiLevelType w:val="multilevel"/>
    <w:tmpl w:val="C0389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126825"/>
    <w:multiLevelType w:val="hybridMultilevel"/>
    <w:tmpl w:val="2CC04028"/>
    <w:lvl w:ilvl="0" w:tplc="6224553A">
      <w:numFmt w:val="bullet"/>
      <w:lvlText w:val="-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25"/>
    <w:rsid w:val="000176A4"/>
    <w:rsid w:val="00045079"/>
    <w:rsid w:val="00057683"/>
    <w:rsid w:val="0006035D"/>
    <w:rsid w:val="0006198E"/>
    <w:rsid w:val="00081B9B"/>
    <w:rsid w:val="000B0858"/>
    <w:rsid w:val="000B19D4"/>
    <w:rsid w:val="000D4F82"/>
    <w:rsid w:val="000E0199"/>
    <w:rsid w:val="000E6007"/>
    <w:rsid w:val="00105B93"/>
    <w:rsid w:val="00127955"/>
    <w:rsid w:val="00137FE1"/>
    <w:rsid w:val="001508BA"/>
    <w:rsid w:val="00187C8F"/>
    <w:rsid w:val="00194B64"/>
    <w:rsid w:val="001A6C2B"/>
    <w:rsid w:val="001C1F0A"/>
    <w:rsid w:val="001E57CC"/>
    <w:rsid w:val="0022194A"/>
    <w:rsid w:val="00226040"/>
    <w:rsid w:val="0022735F"/>
    <w:rsid w:val="00245166"/>
    <w:rsid w:val="002556BF"/>
    <w:rsid w:val="00282032"/>
    <w:rsid w:val="00297AEF"/>
    <w:rsid w:val="002D1EE7"/>
    <w:rsid w:val="002D3282"/>
    <w:rsid w:val="00317C54"/>
    <w:rsid w:val="00360A5E"/>
    <w:rsid w:val="0036179E"/>
    <w:rsid w:val="0036404A"/>
    <w:rsid w:val="0036663F"/>
    <w:rsid w:val="003B1F87"/>
    <w:rsid w:val="003E0BBF"/>
    <w:rsid w:val="003E52B3"/>
    <w:rsid w:val="004108F5"/>
    <w:rsid w:val="00412848"/>
    <w:rsid w:val="0044529D"/>
    <w:rsid w:val="004557EB"/>
    <w:rsid w:val="00465939"/>
    <w:rsid w:val="004735A9"/>
    <w:rsid w:val="004756C8"/>
    <w:rsid w:val="00490137"/>
    <w:rsid w:val="004A60D4"/>
    <w:rsid w:val="004D15AC"/>
    <w:rsid w:val="00516F74"/>
    <w:rsid w:val="00545D5F"/>
    <w:rsid w:val="0054707D"/>
    <w:rsid w:val="00562A1E"/>
    <w:rsid w:val="00564508"/>
    <w:rsid w:val="005C3C99"/>
    <w:rsid w:val="005D0B15"/>
    <w:rsid w:val="005D542D"/>
    <w:rsid w:val="006127B8"/>
    <w:rsid w:val="006139B0"/>
    <w:rsid w:val="006401DA"/>
    <w:rsid w:val="00643ACD"/>
    <w:rsid w:val="00663503"/>
    <w:rsid w:val="00676B17"/>
    <w:rsid w:val="006A3E25"/>
    <w:rsid w:val="006B1E37"/>
    <w:rsid w:val="006D58DC"/>
    <w:rsid w:val="006F46A9"/>
    <w:rsid w:val="00724757"/>
    <w:rsid w:val="00745D38"/>
    <w:rsid w:val="00765873"/>
    <w:rsid w:val="007A5C03"/>
    <w:rsid w:val="007C6DE7"/>
    <w:rsid w:val="007E7FAF"/>
    <w:rsid w:val="007F4860"/>
    <w:rsid w:val="00803107"/>
    <w:rsid w:val="00803BA0"/>
    <w:rsid w:val="008074A2"/>
    <w:rsid w:val="00814A27"/>
    <w:rsid w:val="00817500"/>
    <w:rsid w:val="0082590F"/>
    <w:rsid w:val="00827244"/>
    <w:rsid w:val="00834FE5"/>
    <w:rsid w:val="008411AC"/>
    <w:rsid w:val="00846D74"/>
    <w:rsid w:val="00864A05"/>
    <w:rsid w:val="00866105"/>
    <w:rsid w:val="00874DAF"/>
    <w:rsid w:val="008A136A"/>
    <w:rsid w:val="008A25EF"/>
    <w:rsid w:val="008D2409"/>
    <w:rsid w:val="008E6AF1"/>
    <w:rsid w:val="009263E5"/>
    <w:rsid w:val="00934324"/>
    <w:rsid w:val="00945BE6"/>
    <w:rsid w:val="009A120F"/>
    <w:rsid w:val="009B2C9B"/>
    <w:rsid w:val="009B3AD0"/>
    <w:rsid w:val="009C02F1"/>
    <w:rsid w:val="009E0860"/>
    <w:rsid w:val="009F7665"/>
    <w:rsid w:val="00A26A83"/>
    <w:rsid w:val="00A5374C"/>
    <w:rsid w:val="00A6290D"/>
    <w:rsid w:val="00A83D01"/>
    <w:rsid w:val="00B1403E"/>
    <w:rsid w:val="00B33DFA"/>
    <w:rsid w:val="00B41E27"/>
    <w:rsid w:val="00B60D89"/>
    <w:rsid w:val="00B8511E"/>
    <w:rsid w:val="00B86F06"/>
    <w:rsid w:val="00B86FF6"/>
    <w:rsid w:val="00B967D4"/>
    <w:rsid w:val="00BA7C9A"/>
    <w:rsid w:val="00BC5F98"/>
    <w:rsid w:val="00BE3146"/>
    <w:rsid w:val="00BF05CF"/>
    <w:rsid w:val="00C054C1"/>
    <w:rsid w:val="00C07EBE"/>
    <w:rsid w:val="00C1418F"/>
    <w:rsid w:val="00C27E5A"/>
    <w:rsid w:val="00C35951"/>
    <w:rsid w:val="00C515A9"/>
    <w:rsid w:val="00C54E75"/>
    <w:rsid w:val="00C55CAB"/>
    <w:rsid w:val="00C83E4A"/>
    <w:rsid w:val="00CA5491"/>
    <w:rsid w:val="00CB6499"/>
    <w:rsid w:val="00CC293B"/>
    <w:rsid w:val="00D0516B"/>
    <w:rsid w:val="00D22715"/>
    <w:rsid w:val="00D5536F"/>
    <w:rsid w:val="00D62249"/>
    <w:rsid w:val="00DC20F9"/>
    <w:rsid w:val="00DE28A4"/>
    <w:rsid w:val="00E02525"/>
    <w:rsid w:val="00E20498"/>
    <w:rsid w:val="00E33214"/>
    <w:rsid w:val="00E40D42"/>
    <w:rsid w:val="00E60554"/>
    <w:rsid w:val="00E705F0"/>
    <w:rsid w:val="00E963E0"/>
    <w:rsid w:val="00EE3400"/>
    <w:rsid w:val="00F05FC7"/>
    <w:rsid w:val="00F16D4C"/>
    <w:rsid w:val="00F356AF"/>
    <w:rsid w:val="00F76962"/>
    <w:rsid w:val="00F801EC"/>
    <w:rsid w:val="00F97AF0"/>
    <w:rsid w:val="00FB6003"/>
    <w:rsid w:val="00FE57DD"/>
    <w:rsid w:val="00FE71E7"/>
    <w:rsid w:val="00FF1BB3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79C260E-EF8B-48A3-9A6D-0C85B25D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37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3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F801E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62249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0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0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E086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D8448-4380-4A4A-AFF9-8B891C32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>Hewlett-Packard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Susan Morris</cp:lastModifiedBy>
  <cp:revision>13</cp:revision>
  <dcterms:created xsi:type="dcterms:W3CDTF">2015-08-12T08:45:00Z</dcterms:created>
  <dcterms:modified xsi:type="dcterms:W3CDTF">2016-07-15T11:31:00Z</dcterms:modified>
</cp:coreProperties>
</file>