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675"/>
        <w:gridCol w:w="8839"/>
      </w:tblGrid>
      <w:tr w:rsidR="006B1E37" w14:paraId="0F15D455" w14:textId="77777777" w:rsidTr="009027F3">
        <w:trPr>
          <w:trHeight w:val="3109"/>
        </w:trPr>
        <w:tc>
          <w:tcPr>
            <w:tcW w:w="675" w:type="dxa"/>
          </w:tcPr>
          <w:p w14:paraId="1F3AA1C0" w14:textId="77777777" w:rsidR="006B1E37" w:rsidRPr="009027F3" w:rsidRDefault="000176A4" w:rsidP="00C27E5A">
            <w:pPr>
              <w:rPr>
                <w:b/>
              </w:rPr>
            </w:pPr>
            <w:r w:rsidRPr="009027F3">
              <w:rPr>
                <w:b/>
              </w:rPr>
              <w:t>Q1</w:t>
            </w:r>
          </w:p>
        </w:tc>
        <w:tc>
          <w:tcPr>
            <w:tcW w:w="8839" w:type="dxa"/>
          </w:tcPr>
          <w:p w14:paraId="0DCBDE9D" w14:textId="051579D2" w:rsidR="00C72A6B" w:rsidRDefault="00C27CAD" w:rsidP="006401DA">
            <w:r>
              <w:t>Thai-Tanic is a Thai restaurant based i</w:t>
            </w:r>
            <w:r w:rsidR="00412F82">
              <w:t xml:space="preserve">n </w:t>
            </w:r>
            <w:r>
              <w:t>Sunderland. The owners of Thai-Tanic are looking to expand the business by setting up a takeaway business, Thai-Tanic Two. The total cost of the investment is £100,000. The projected net cash flows are:</w:t>
            </w:r>
          </w:p>
          <w:p w14:paraId="3594A44A" w14:textId="37131B3C" w:rsidR="00C27CAD" w:rsidRDefault="00C27CAD" w:rsidP="006401DA">
            <w:r>
              <w:t>Year 1: £30,000</w:t>
            </w:r>
          </w:p>
          <w:p w14:paraId="6B39FB62" w14:textId="36EB86C6" w:rsidR="00C27CAD" w:rsidRDefault="00C27CAD" w:rsidP="006401DA">
            <w:r>
              <w:t>Year 2: £40,000</w:t>
            </w:r>
          </w:p>
          <w:p w14:paraId="049E1FD7" w14:textId="26149CA3" w:rsidR="00C27CAD" w:rsidRDefault="00C27CAD" w:rsidP="006401DA">
            <w:r>
              <w:t>Year 3: £60,000</w:t>
            </w:r>
          </w:p>
          <w:p w14:paraId="7FC9D082" w14:textId="27225D58" w:rsidR="00C27CAD" w:rsidRDefault="00C27CAD" w:rsidP="006401DA">
            <w:r>
              <w:t>Year 4: £70,000</w:t>
            </w:r>
          </w:p>
          <w:p w14:paraId="275BFD6C" w14:textId="2B374E84" w:rsidR="00EF02CF" w:rsidRPr="001B7282" w:rsidRDefault="002B24BA" w:rsidP="006401DA">
            <w:pPr>
              <w:rPr>
                <w:b/>
              </w:rPr>
            </w:pPr>
            <w:r>
              <w:rPr>
                <w:b/>
              </w:rPr>
              <w:t>Activity</w:t>
            </w:r>
            <w:r w:rsidR="001B7282" w:rsidRPr="001B7282">
              <w:rPr>
                <w:b/>
              </w:rPr>
              <w:t xml:space="preserve">: </w:t>
            </w:r>
            <w:r w:rsidR="00C27CAD" w:rsidRPr="001B7282">
              <w:rPr>
                <w:b/>
              </w:rPr>
              <w:t>Calculate the p</w:t>
            </w:r>
            <w:r w:rsidR="00057846">
              <w:rPr>
                <w:b/>
              </w:rPr>
              <w:t>ayback period of Thai-Tanic Two</w:t>
            </w:r>
          </w:p>
        </w:tc>
      </w:tr>
      <w:tr w:rsidR="009A120F" w14:paraId="59C26E33" w14:textId="77777777" w:rsidTr="009A120F">
        <w:trPr>
          <w:trHeight w:val="1596"/>
        </w:trPr>
        <w:tc>
          <w:tcPr>
            <w:tcW w:w="9514" w:type="dxa"/>
            <w:gridSpan w:val="2"/>
          </w:tcPr>
          <w:p w14:paraId="7B988AA2" w14:textId="260B5653" w:rsidR="0056162D" w:rsidRDefault="006446B1" w:rsidP="002556BF">
            <w:pPr>
              <w:rPr>
                <w:b/>
                <w:i/>
              </w:rPr>
            </w:pPr>
            <w:r>
              <w:rPr>
                <w:b/>
                <w:i/>
              </w:rPr>
              <w:t>Your workings:</w:t>
            </w:r>
          </w:p>
          <w:p w14:paraId="1BFB702B" w14:textId="77777777" w:rsidR="006446B1" w:rsidRDefault="006446B1" w:rsidP="002556BF">
            <w:pPr>
              <w:rPr>
                <w:b/>
                <w:i/>
              </w:rPr>
            </w:pPr>
          </w:p>
          <w:p w14:paraId="40B616F3" w14:textId="77777777" w:rsidR="009027F3" w:rsidRDefault="009027F3" w:rsidP="002556BF">
            <w:pPr>
              <w:rPr>
                <w:b/>
                <w:i/>
              </w:rPr>
            </w:pPr>
          </w:p>
          <w:p w14:paraId="4DAA1E4F" w14:textId="77777777" w:rsidR="009027F3" w:rsidRDefault="009027F3" w:rsidP="002556BF">
            <w:pPr>
              <w:rPr>
                <w:b/>
                <w:i/>
              </w:rPr>
            </w:pPr>
          </w:p>
          <w:p w14:paraId="249B3D2C" w14:textId="77777777" w:rsidR="009027F3" w:rsidRDefault="009027F3" w:rsidP="002556BF">
            <w:pPr>
              <w:rPr>
                <w:b/>
                <w:i/>
              </w:rPr>
            </w:pPr>
          </w:p>
          <w:p w14:paraId="72C35012" w14:textId="77777777" w:rsidR="006446B1" w:rsidRDefault="006446B1" w:rsidP="002556BF">
            <w:pPr>
              <w:rPr>
                <w:b/>
                <w:i/>
              </w:rPr>
            </w:pPr>
          </w:p>
          <w:p w14:paraId="537F67EA" w14:textId="47E65C50" w:rsidR="006446B1" w:rsidRPr="006446B1" w:rsidRDefault="006446B1" w:rsidP="002556BF">
            <w:pPr>
              <w:rPr>
                <w:b/>
                <w:i/>
              </w:rPr>
            </w:pPr>
          </w:p>
        </w:tc>
      </w:tr>
    </w:tbl>
    <w:p w14:paraId="0C94F09A" w14:textId="77777777" w:rsidR="0056162D" w:rsidRDefault="0056162D"/>
    <w:tbl>
      <w:tblPr>
        <w:tblStyle w:val="TableGrid"/>
        <w:tblW w:w="0" w:type="auto"/>
        <w:tblLook w:val="04A0" w:firstRow="1" w:lastRow="0" w:firstColumn="1" w:lastColumn="0" w:noHBand="0" w:noVBand="1"/>
      </w:tblPr>
      <w:tblGrid>
        <w:gridCol w:w="675"/>
        <w:gridCol w:w="8839"/>
      </w:tblGrid>
      <w:tr w:rsidR="00724757" w14:paraId="02581EC9" w14:textId="77777777" w:rsidTr="009A120F">
        <w:trPr>
          <w:trHeight w:val="903"/>
        </w:trPr>
        <w:tc>
          <w:tcPr>
            <w:tcW w:w="675" w:type="dxa"/>
          </w:tcPr>
          <w:p w14:paraId="121697B9" w14:textId="77777777" w:rsidR="00724757" w:rsidRPr="009027F3" w:rsidRDefault="00724757" w:rsidP="009A120F">
            <w:pPr>
              <w:rPr>
                <w:b/>
              </w:rPr>
            </w:pPr>
            <w:r w:rsidRPr="009027F3">
              <w:rPr>
                <w:b/>
              </w:rPr>
              <w:t>Q2</w:t>
            </w:r>
          </w:p>
        </w:tc>
        <w:tc>
          <w:tcPr>
            <w:tcW w:w="8839" w:type="dxa"/>
          </w:tcPr>
          <w:p w14:paraId="00F76973" w14:textId="77777777" w:rsidR="00AA56DB" w:rsidRDefault="00AA56DB" w:rsidP="0056162D">
            <w:r>
              <w:t>StartKey and Clutch is a driving school based in Boston Spa. The owner of the business, David Soul, is looking to invest in two new vehicles costing £50,000 for both. The estimated cash flows are:</w:t>
            </w:r>
          </w:p>
          <w:p w14:paraId="62EBD9F6" w14:textId="5CD6F202" w:rsidR="00CC00F3" w:rsidRDefault="00CC00F3" w:rsidP="0056162D">
            <w:r>
              <w:t xml:space="preserve">Cash In                    </w:t>
            </w:r>
            <w:r w:rsidR="00AA56DB">
              <w:t xml:space="preserve">                        </w:t>
            </w:r>
            <w:r>
              <w:t xml:space="preserve">  Cash Out</w:t>
            </w:r>
          </w:p>
          <w:p w14:paraId="0945FC23" w14:textId="58C493CF" w:rsidR="00CC00F3" w:rsidRDefault="00CC00F3" w:rsidP="0056162D">
            <w:r>
              <w:t>Year 0                                               (£50,000)</w:t>
            </w:r>
          </w:p>
          <w:p w14:paraId="086750AF" w14:textId="0AD1E570" w:rsidR="00CC00F3" w:rsidRDefault="00CC00F3" w:rsidP="0056162D">
            <w:r>
              <w:t>Year 1           £20,000                      £10,000</w:t>
            </w:r>
          </w:p>
          <w:p w14:paraId="315BA48C" w14:textId="7ED7D48D" w:rsidR="00CC00F3" w:rsidRDefault="00CC00F3" w:rsidP="0056162D">
            <w:r>
              <w:t>Year 2           £30,000                      £14,000</w:t>
            </w:r>
          </w:p>
          <w:p w14:paraId="39020EA6" w14:textId="141722D9" w:rsidR="00CC00F3" w:rsidRDefault="00CC00F3" w:rsidP="0056162D">
            <w:r>
              <w:t xml:space="preserve">Year 3           £40,000                      </w:t>
            </w:r>
            <w:r w:rsidR="00690BAE">
              <w:t>£16</w:t>
            </w:r>
            <w:r>
              <w:t>,000</w:t>
            </w:r>
          </w:p>
          <w:p w14:paraId="68D453D7" w14:textId="5254E131" w:rsidR="00CC00F3" w:rsidRDefault="00CC00F3" w:rsidP="0056162D">
            <w:r>
              <w:t xml:space="preserve">Year 4           £55,000                      </w:t>
            </w:r>
            <w:r w:rsidR="00690BAE">
              <w:t>£20</w:t>
            </w:r>
            <w:r>
              <w:t>,000</w:t>
            </w:r>
          </w:p>
          <w:p w14:paraId="07C742BE" w14:textId="005DBD69" w:rsidR="00CC00F3" w:rsidRPr="001B7282" w:rsidRDefault="002B24BA" w:rsidP="0056162D">
            <w:pPr>
              <w:rPr>
                <w:b/>
              </w:rPr>
            </w:pPr>
            <w:r>
              <w:rPr>
                <w:b/>
              </w:rPr>
              <w:t>Activity</w:t>
            </w:r>
            <w:r w:rsidR="001B7282" w:rsidRPr="001B7282">
              <w:rPr>
                <w:b/>
              </w:rPr>
              <w:t xml:space="preserve">: </w:t>
            </w:r>
            <w:r w:rsidR="00CC00F3" w:rsidRPr="001B7282">
              <w:rPr>
                <w:b/>
              </w:rPr>
              <w:t>Calculate the payback period of the two new vehicles</w:t>
            </w:r>
          </w:p>
        </w:tc>
      </w:tr>
      <w:tr w:rsidR="009A120F" w14:paraId="1CA2ACA4" w14:textId="77777777" w:rsidTr="009A120F">
        <w:trPr>
          <w:trHeight w:val="1525"/>
        </w:trPr>
        <w:tc>
          <w:tcPr>
            <w:tcW w:w="9514" w:type="dxa"/>
            <w:gridSpan w:val="2"/>
          </w:tcPr>
          <w:p w14:paraId="7ABA06A5" w14:textId="77777777" w:rsidR="00CC00F3" w:rsidRDefault="006446B1" w:rsidP="006446B1">
            <w:pPr>
              <w:rPr>
                <w:b/>
                <w:i/>
              </w:rPr>
            </w:pPr>
            <w:bookmarkStart w:id="0" w:name="_GoBack" w:colFirst="0" w:colLast="0"/>
            <w:r>
              <w:rPr>
                <w:b/>
                <w:i/>
              </w:rPr>
              <w:t>Your workings:</w:t>
            </w:r>
          </w:p>
          <w:p w14:paraId="4D9DD2B7" w14:textId="77777777" w:rsidR="006446B1" w:rsidRDefault="006446B1" w:rsidP="006446B1">
            <w:pPr>
              <w:rPr>
                <w:b/>
                <w:i/>
              </w:rPr>
            </w:pPr>
          </w:p>
          <w:p w14:paraId="3AA98A2D" w14:textId="77777777" w:rsidR="006446B1" w:rsidRDefault="006446B1" w:rsidP="006446B1">
            <w:pPr>
              <w:rPr>
                <w:b/>
                <w:i/>
              </w:rPr>
            </w:pPr>
          </w:p>
          <w:p w14:paraId="1526B612" w14:textId="77777777" w:rsidR="006446B1" w:rsidRDefault="006446B1" w:rsidP="006446B1">
            <w:pPr>
              <w:rPr>
                <w:b/>
                <w:i/>
              </w:rPr>
            </w:pPr>
          </w:p>
          <w:p w14:paraId="1259AD9F" w14:textId="77777777" w:rsidR="009027F3" w:rsidRDefault="009027F3" w:rsidP="006446B1">
            <w:pPr>
              <w:rPr>
                <w:b/>
                <w:i/>
              </w:rPr>
            </w:pPr>
          </w:p>
          <w:p w14:paraId="09237C3A" w14:textId="77777777" w:rsidR="006446B1" w:rsidRDefault="006446B1" w:rsidP="006446B1">
            <w:pPr>
              <w:rPr>
                <w:b/>
                <w:i/>
              </w:rPr>
            </w:pPr>
          </w:p>
          <w:p w14:paraId="09A1BB7F" w14:textId="3F59FFE0" w:rsidR="006446B1" w:rsidRPr="006446B1" w:rsidRDefault="006446B1" w:rsidP="006446B1">
            <w:pPr>
              <w:rPr>
                <w:b/>
                <w:i/>
              </w:rPr>
            </w:pPr>
          </w:p>
        </w:tc>
      </w:tr>
      <w:bookmarkEnd w:id="0"/>
      <w:tr w:rsidR="00D5536F" w14:paraId="32C0EC56" w14:textId="77777777" w:rsidTr="009A120F">
        <w:trPr>
          <w:trHeight w:val="1167"/>
        </w:trPr>
        <w:tc>
          <w:tcPr>
            <w:tcW w:w="675" w:type="dxa"/>
          </w:tcPr>
          <w:p w14:paraId="6A84B283" w14:textId="77777777" w:rsidR="00D5536F" w:rsidRPr="009027F3" w:rsidRDefault="00D5536F" w:rsidP="009A120F">
            <w:pPr>
              <w:rPr>
                <w:b/>
              </w:rPr>
            </w:pPr>
            <w:r w:rsidRPr="009027F3">
              <w:rPr>
                <w:b/>
              </w:rPr>
              <w:lastRenderedPageBreak/>
              <w:t>Q3</w:t>
            </w:r>
          </w:p>
        </w:tc>
        <w:tc>
          <w:tcPr>
            <w:tcW w:w="8839" w:type="dxa"/>
          </w:tcPr>
          <w:p w14:paraId="288527DA" w14:textId="77777777" w:rsidR="000A1552" w:rsidRDefault="000A1552" w:rsidP="000A1552">
            <w:r>
              <w:t>Pane in the Glass is a large double glazing business located in Sandbach. The CEO, Michael Pane, is looking to expand the business by moving into the design and installation of bespoke conservatories and orangeries. This would require a significant increase in warehouse space, as well as investing in a better CAD system. He estimates that the total cost of the investment will be £428,000. The estimated cash inflows of the new investment are below. Michael believes that the cash outflows will be 20% of the yearly cash inflows.</w:t>
            </w:r>
          </w:p>
          <w:p w14:paraId="7886E1EA" w14:textId="77777777" w:rsidR="007B5784" w:rsidRDefault="007B5784" w:rsidP="00D84BD7">
            <w:r>
              <w:t>Year 1      £120,000</w:t>
            </w:r>
          </w:p>
          <w:p w14:paraId="7B079FCF" w14:textId="77777777" w:rsidR="007B5784" w:rsidRDefault="007B5784" w:rsidP="00D84BD7">
            <w:r>
              <w:t>Year 2      £160,000</w:t>
            </w:r>
          </w:p>
          <w:p w14:paraId="26081CCB" w14:textId="77777777" w:rsidR="007B5784" w:rsidRDefault="007B5784" w:rsidP="00D84BD7">
            <w:r>
              <w:t>Year 3      £180,000</w:t>
            </w:r>
          </w:p>
          <w:p w14:paraId="22499011" w14:textId="3B5DD475" w:rsidR="007B5784" w:rsidRDefault="007B5784" w:rsidP="00D84BD7">
            <w:r>
              <w:t xml:space="preserve">Year 4      </w:t>
            </w:r>
            <w:r w:rsidR="00CD0E6D">
              <w:t>£225</w:t>
            </w:r>
            <w:r>
              <w:t>,000</w:t>
            </w:r>
          </w:p>
          <w:p w14:paraId="7FC13952" w14:textId="2F854CE2" w:rsidR="007B5784" w:rsidRPr="001B7282" w:rsidRDefault="002B24BA" w:rsidP="00D84BD7">
            <w:pPr>
              <w:rPr>
                <w:b/>
              </w:rPr>
            </w:pPr>
            <w:r>
              <w:rPr>
                <w:b/>
              </w:rPr>
              <w:t>Activity</w:t>
            </w:r>
            <w:r w:rsidR="001B7282" w:rsidRPr="001B7282">
              <w:rPr>
                <w:b/>
              </w:rPr>
              <w:t xml:space="preserve">: </w:t>
            </w:r>
            <w:r w:rsidR="007B5784" w:rsidRPr="001B7282">
              <w:rPr>
                <w:b/>
              </w:rPr>
              <w:t>Calculate the payback period of the proposed investment</w:t>
            </w:r>
          </w:p>
        </w:tc>
      </w:tr>
      <w:tr w:rsidR="009A120F" w14:paraId="1EA90946" w14:textId="77777777" w:rsidTr="009A120F">
        <w:trPr>
          <w:trHeight w:val="1489"/>
        </w:trPr>
        <w:tc>
          <w:tcPr>
            <w:tcW w:w="9514" w:type="dxa"/>
            <w:gridSpan w:val="2"/>
          </w:tcPr>
          <w:p w14:paraId="6B4D5A97" w14:textId="77777777" w:rsidR="00CD0E6D" w:rsidRDefault="006446B1" w:rsidP="009A120F">
            <w:pPr>
              <w:rPr>
                <w:b/>
                <w:i/>
              </w:rPr>
            </w:pPr>
            <w:r>
              <w:rPr>
                <w:b/>
                <w:i/>
              </w:rPr>
              <w:t>Your workings:</w:t>
            </w:r>
          </w:p>
          <w:p w14:paraId="11993398" w14:textId="77777777" w:rsidR="006446B1" w:rsidRDefault="006446B1" w:rsidP="009A120F">
            <w:pPr>
              <w:rPr>
                <w:b/>
                <w:i/>
              </w:rPr>
            </w:pPr>
          </w:p>
          <w:p w14:paraId="3D5CFA0D" w14:textId="77777777" w:rsidR="006446B1" w:rsidRDefault="006446B1" w:rsidP="009A120F">
            <w:pPr>
              <w:rPr>
                <w:b/>
                <w:i/>
              </w:rPr>
            </w:pPr>
          </w:p>
          <w:p w14:paraId="11FD078E" w14:textId="77777777" w:rsidR="009027F3" w:rsidRDefault="009027F3" w:rsidP="009A120F">
            <w:pPr>
              <w:rPr>
                <w:b/>
                <w:i/>
              </w:rPr>
            </w:pPr>
          </w:p>
          <w:p w14:paraId="32F1A887" w14:textId="77777777" w:rsidR="006446B1" w:rsidRDefault="006446B1" w:rsidP="009A120F">
            <w:pPr>
              <w:rPr>
                <w:b/>
                <w:i/>
              </w:rPr>
            </w:pPr>
          </w:p>
          <w:p w14:paraId="5F973C31" w14:textId="77777777" w:rsidR="00B83753" w:rsidRDefault="00B83753" w:rsidP="009A120F">
            <w:pPr>
              <w:rPr>
                <w:b/>
                <w:i/>
              </w:rPr>
            </w:pPr>
          </w:p>
          <w:p w14:paraId="47ECFB04" w14:textId="77777777" w:rsidR="00B83753" w:rsidRDefault="00B83753" w:rsidP="009A120F">
            <w:pPr>
              <w:rPr>
                <w:b/>
                <w:i/>
              </w:rPr>
            </w:pPr>
          </w:p>
          <w:p w14:paraId="6966B2C6" w14:textId="77777777" w:rsidR="00B83753" w:rsidRDefault="00B83753" w:rsidP="009A120F">
            <w:pPr>
              <w:rPr>
                <w:b/>
                <w:i/>
              </w:rPr>
            </w:pPr>
          </w:p>
          <w:p w14:paraId="23E54C78" w14:textId="77777777" w:rsidR="00B83753" w:rsidRDefault="00B83753" w:rsidP="009A120F">
            <w:pPr>
              <w:rPr>
                <w:b/>
                <w:i/>
              </w:rPr>
            </w:pPr>
          </w:p>
          <w:p w14:paraId="2EB358B5" w14:textId="77777777" w:rsidR="00B83753" w:rsidRDefault="00B83753" w:rsidP="009A120F">
            <w:pPr>
              <w:rPr>
                <w:b/>
                <w:i/>
              </w:rPr>
            </w:pPr>
          </w:p>
          <w:p w14:paraId="315EEBAD" w14:textId="77777777" w:rsidR="00B83753" w:rsidRDefault="00B83753" w:rsidP="009A120F">
            <w:pPr>
              <w:rPr>
                <w:b/>
                <w:i/>
              </w:rPr>
            </w:pPr>
          </w:p>
          <w:p w14:paraId="2184101C" w14:textId="77777777" w:rsidR="00B83753" w:rsidRDefault="00B83753" w:rsidP="009A120F">
            <w:pPr>
              <w:rPr>
                <w:b/>
                <w:i/>
              </w:rPr>
            </w:pPr>
          </w:p>
          <w:p w14:paraId="626AC7DA" w14:textId="77777777" w:rsidR="00B83753" w:rsidRDefault="00B83753" w:rsidP="009A120F">
            <w:pPr>
              <w:rPr>
                <w:b/>
                <w:i/>
              </w:rPr>
            </w:pPr>
          </w:p>
          <w:p w14:paraId="3581F38D" w14:textId="77777777" w:rsidR="00B83753" w:rsidRDefault="00B83753" w:rsidP="009A120F">
            <w:pPr>
              <w:rPr>
                <w:b/>
                <w:i/>
              </w:rPr>
            </w:pPr>
          </w:p>
          <w:p w14:paraId="55693DA4" w14:textId="77777777" w:rsidR="00B83753" w:rsidRDefault="00B83753" w:rsidP="009A120F">
            <w:pPr>
              <w:rPr>
                <w:b/>
                <w:i/>
              </w:rPr>
            </w:pPr>
          </w:p>
          <w:p w14:paraId="416E991D" w14:textId="77777777" w:rsidR="00B83753" w:rsidRDefault="00B83753" w:rsidP="009A120F">
            <w:pPr>
              <w:rPr>
                <w:b/>
                <w:i/>
              </w:rPr>
            </w:pPr>
          </w:p>
          <w:p w14:paraId="4AF4D3E3" w14:textId="77777777" w:rsidR="00B83753" w:rsidRDefault="00B83753" w:rsidP="009A120F">
            <w:pPr>
              <w:rPr>
                <w:b/>
                <w:i/>
              </w:rPr>
            </w:pPr>
          </w:p>
          <w:p w14:paraId="2D7189F3" w14:textId="77777777" w:rsidR="00B83753" w:rsidRDefault="00B83753" w:rsidP="009A120F">
            <w:pPr>
              <w:rPr>
                <w:b/>
                <w:i/>
              </w:rPr>
            </w:pPr>
          </w:p>
          <w:p w14:paraId="77C60AFD" w14:textId="77777777" w:rsidR="00B83753" w:rsidRDefault="00B83753" w:rsidP="009A120F">
            <w:pPr>
              <w:rPr>
                <w:b/>
                <w:i/>
              </w:rPr>
            </w:pPr>
          </w:p>
          <w:p w14:paraId="03A07257" w14:textId="77777777" w:rsidR="00B83753" w:rsidRDefault="00B83753" w:rsidP="009A120F">
            <w:pPr>
              <w:rPr>
                <w:b/>
                <w:i/>
              </w:rPr>
            </w:pPr>
          </w:p>
          <w:p w14:paraId="3D4F32C5" w14:textId="77777777" w:rsidR="00B83753" w:rsidRDefault="00B83753" w:rsidP="009A120F">
            <w:pPr>
              <w:rPr>
                <w:b/>
                <w:i/>
              </w:rPr>
            </w:pPr>
          </w:p>
          <w:p w14:paraId="225B8E21" w14:textId="77777777" w:rsidR="00B83753" w:rsidRDefault="00B83753" w:rsidP="009A120F">
            <w:pPr>
              <w:rPr>
                <w:b/>
                <w:i/>
              </w:rPr>
            </w:pPr>
          </w:p>
          <w:p w14:paraId="2E37684C" w14:textId="018F2364" w:rsidR="006446B1" w:rsidRPr="006446B1" w:rsidRDefault="006446B1" w:rsidP="009A120F">
            <w:pPr>
              <w:rPr>
                <w:b/>
                <w:i/>
              </w:rPr>
            </w:pPr>
          </w:p>
        </w:tc>
      </w:tr>
      <w:tr w:rsidR="0019202B" w14:paraId="2B6DEE7B" w14:textId="77777777" w:rsidTr="001B7282">
        <w:trPr>
          <w:trHeight w:val="2455"/>
        </w:trPr>
        <w:tc>
          <w:tcPr>
            <w:tcW w:w="675" w:type="dxa"/>
          </w:tcPr>
          <w:p w14:paraId="7963D396" w14:textId="77777777" w:rsidR="0019202B" w:rsidRPr="009027F3" w:rsidRDefault="0019202B" w:rsidP="0019202B">
            <w:pPr>
              <w:rPr>
                <w:b/>
              </w:rPr>
            </w:pPr>
            <w:r w:rsidRPr="009027F3">
              <w:rPr>
                <w:b/>
              </w:rPr>
              <w:lastRenderedPageBreak/>
              <w:t>Q4</w:t>
            </w:r>
          </w:p>
        </w:tc>
        <w:tc>
          <w:tcPr>
            <w:tcW w:w="8839" w:type="dxa"/>
          </w:tcPr>
          <w:p w14:paraId="15AAF77C" w14:textId="77777777" w:rsidR="0019202B" w:rsidRDefault="0019202B" w:rsidP="0019202B">
            <w:r>
              <w:t>Curl up and Dye Hair Salon are currently operating at around 95% capacity utilisation. The owner of the business, Sarah Brown, is looking to move to larger premises in order to increase capacity and allow the business to offer a wider range of services. Sarah estimates that the cost of the expansion will be £140,000. Sarah estimates that in Year 1 the cash inflows will be £60,000. These are anticipated to increase by 5% every year, for the next 4 years. Sarah has estimated that cash outflows will be 2/5ths of the yearly cash inflows.</w:t>
            </w:r>
          </w:p>
          <w:p w14:paraId="05B92931" w14:textId="5AE5119C" w:rsidR="0019202B" w:rsidRPr="001B7282" w:rsidRDefault="0019202B" w:rsidP="0019202B">
            <w:pPr>
              <w:rPr>
                <w:b/>
              </w:rPr>
            </w:pPr>
            <w:r w:rsidRPr="00B11663">
              <w:rPr>
                <w:b/>
              </w:rPr>
              <w:t xml:space="preserve">Activity: Calculate the payback period of the proposed investment </w:t>
            </w:r>
          </w:p>
        </w:tc>
      </w:tr>
      <w:tr w:rsidR="0019202B" w14:paraId="6AE9B23E" w14:textId="77777777" w:rsidTr="009A120F">
        <w:trPr>
          <w:trHeight w:val="1698"/>
        </w:trPr>
        <w:tc>
          <w:tcPr>
            <w:tcW w:w="9514" w:type="dxa"/>
            <w:gridSpan w:val="2"/>
          </w:tcPr>
          <w:p w14:paraId="135DFB62" w14:textId="77777777" w:rsidR="0019202B" w:rsidRDefault="0019202B" w:rsidP="0019202B">
            <w:pPr>
              <w:rPr>
                <w:b/>
                <w:i/>
              </w:rPr>
            </w:pPr>
            <w:r>
              <w:rPr>
                <w:b/>
                <w:i/>
              </w:rPr>
              <w:t>Your workings:</w:t>
            </w:r>
          </w:p>
          <w:p w14:paraId="7C1A0499" w14:textId="77777777" w:rsidR="0019202B" w:rsidRPr="006446B1" w:rsidRDefault="0019202B" w:rsidP="0019202B">
            <w:pPr>
              <w:rPr>
                <w:b/>
                <w:i/>
              </w:rPr>
            </w:pPr>
          </w:p>
          <w:p w14:paraId="075C9203" w14:textId="77777777" w:rsidR="0019202B" w:rsidRDefault="0019202B" w:rsidP="0019202B"/>
          <w:p w14:paraId="2B3052CE" w14:textId="77777777" w:rsidR="0019202B" w:rsidRDefault="0019202B" w:rsidP="0019202B">
            <w:pPr>
              <w:rPr>
                <w:b/>
                <w:i/>
              </w:rPr>
            </w:pPr>
          </w:p>
          <w:p w14:paraId="4830FB8D" w14:textId="77777777" w:rsidR="0019202B" w:rsidRDefault="0019202B" w:rsidP="0019202B">
            <w:pPr>
              <w:rPr>
                <w:b/>
                <w:i/>
              </w:rPr>
            </w:pPr>
          </w:p>
          <w:p w14:paraId="08AFF37E" w14:textId="77777777" w:rsidR="0019202B" w:rsidRDefault="0019202B" w:rsidP="0019202B">
            <w:pPr>
              <w:rPr>
                <w:b/>
                <w:i/>
              </w:rPr>
            </w:pPr>
          </w:p>
          <w:p w14:paraId="611CE730" w14:textId="77777777" w:rsidR="0019202B" w:rsidRDefault="0019202B" w:rsidP="0019202B">
            <w:pPr>
              <w:rPr>
                <w:b/>
                <w:i/>
              </w:rPr>
            </w:pPr>
          </w:p>
          <w:p w14:paraId="2D68444F" w14:textId="77777777" w:rsidR="0019202B" w:rsidRDefault="0019202B" w:rsidP="0019202B">
            <w:pPr>
              <w:rPr>
                <w:b/>
                <w:i/>
              </w:rPr>
            </w:pPr>
          </w:p>
          <w:p w14:paraId="141146A5" w14:textId="77777777" w:rsidR="00B83753" w:rsidRDefault="00B83753" w:rsidP="0019202B">
            <w:pPr>
              <w:rPr>
                <w:b/>
                <w:i/>
              </w:rPr>
            </w:pPr>
          </w:p>
          <w:p w14:paraId="75CFE767" w14:textId="77777777" w:rsidR="00B83753" w:rsidRDefault="00B83753" w:rsidP="0019202B">
            <w:pPr>
              <w:rPr>
                <w:b/>
                <w:i/>
              </w:rPr>
            </w:pPr>
          </w:p>
          <w:p w14:paraId="43ED54DA" w14:textId="77777777" w:rsidR="00B83753" w:rsidRDefault="00B83753" w:rsidP="0019202B">
            <w:pPr>
              <w:rPr>
                <w:b/>
                <w:i/>
              </w:rPr>
            </w:pPr>
          </w:p>
          <w:p w14:paraId="02DD018C" w14:textId="77777777" w:rsidR="00B83753" w:rsidRDefault="00B83753" w:rsidP="0019202B">
            <w:pPr>
              <w:rPr>
                <w:b/>
                <w:i/>
              </w:rPr>
            </w:pPr>
          </w:p>
          <w:p w14:paraId="7390FCDF" w14:textId="77777777" w:rsidR="00B83753" w:rsidRDefault="00B83753" w:rsidP="0019202B">
            <w:pPr>
              <w:rPr>
                <w:b/>
                <w:i/>
              </w:rPr>
            </w:pPr>
          </w:p>
          <w:p w14:paraId="1C41ECE1" w14:textId="77777777" w:rsidR="00B83753" w:rsidRDefault="00B83753" w:rsidP="0019202B">
            <w:pPr>
              <w:rPr>
                <w:b/>
                <w:i/>
              </w:rPr>
            </w:pPr>
          </w:p>
          <w:p w14:paraId="28293381" w14:textId="77777777" w:rsidR="00B83753" w:rsidRDefault="00B83753" w:rsidP="0019202B">
            <w:pPr>
              <w:rPr>
                <w:b/>
                <w:i/>
              </w:rPr>
            </w:pPr>
          </w:p>
          <w:p w14:paraId="4FA9A571" w14:textId="77777777" w:rsidR="00B83753" w:rsidRDefault="00B83753" w:rsidP="0019202B">
            <w:pPr>
              <w:rPr>
                <w:b/>
                <w:i/>
              </w:rPr>
            </w:pPr>
          </w:p>
          <w:p w14:paraId="3A3CC820" w14:textId="77777777" w:rsidR="00B83753" w:rsidRDefault="00B83753" w:rsidP="0019202B">
            <w:pPr>
              <w:rPr>
                <w:b/>
                <w:i/>
              </w:rPr>
            </w:pPr>
          </w:p>
          <w:p w14:paraId="48D658EE" w14:textId="77777777" w:rsidR="00B83753" w:rsidRDefault="00B83753" w:rsidP="0019202B">
            <w:pPr>
              <w:rPr>
                <w:b/>
                <w:i/>
              </w:rPr>
            </w:pPr>
          </w:p>
          <w:p w14:paraId="621E6C1D" w14:textId="77777777" w:rsidR="00B83753" w:rsidRDefault="00B83753" w:rsidP="0019202B">
            <w:pPr>
              <w:rPr>
                <w:b/>
                <w:i/>
              </w:rPr>
            </w:pPr>
          </w:p>
          <w:p w14:paraId="44268394" w14:textId="77777777" w:rsidR="00B83753" w:rsidRDefault="00B83753" w:rsidP="0019202B">
            <w:pPr>
              <w:rPr>
                <w:b/>
                <w:i/>
              </w:rPr>
            </w:pPr>
          </w:p>
          <w:p w14:paraId="1492A5F3" w14:textId="77777777" w:rsidR="00B83753" w:rsidRDefault="00B83753" w:rsidP="0019202B">
            <w:pPr>
              <w:rPr>
                <w:b/>
                <w:i/>
              </w:rPr>
            </w:pPr>
          </w:p>
          <w:p w14:paraId="58F5254E" w14:textId="77777777" w:rsidR="00B83753" w:rsidRDefault="00B83753" w:rsidP="0019202B">
            <w:pPr>
              <w:rPr>
                <w:b/>
                <w:i/>
              </w:rPr>
            </w:pPr>
          </w:p>
          <w:p w14:paraId="4FA50CDB" w14:textId="77777777" w:rsidR="00B83753" w:rsidRDefault="00B83753" w:rsidP="0019202B">
            <w:pPr>
              <w:rPr>
                <w:b/>
                <w:i/>
              </w:rPr>
            </w:pPr>
          </w:p>
          <w:p w14:paraId="09EB2081" w14:textId="77777777" w:rsidR="00B83753" w:rsidRDefault="00B83753" w:rsidP="0019202B">
            <w:pPr>
              <w:rPr>
                <w:b/>
                <w:i/>
              </w:rPr>
            </w:pPr>
          </w:p>
          <w:p w14:paraId="5DBC07BF" w14:textId="77777777" w:rsidR="00B83753" w:rsidRDefault="00B83753" w:rsidP="0019202B">
            <w:pPr>
              <w:rPr>
                <w:b/>
                <w:i/>
              </w:rPr>
            </w:pPr>
          </w:p>
          <w:p w14:paraId="3362A892" w14:textId="77777777" w:rsidR="003934D0" w:rsidRPr="009A120F" w:rsidRDefault="003934D0" w:rsidP="0019202B">
            <w:pPr>
              <w:rPr>
                <w:b/>
                <w:i/>
              </w:rPr>
            </w:pPr>
          </w:p>
        </w:tc>
      </w:tr>
    </w:tbl>
    <w:p w14:paraId="2267E01F" w14:textId="77777777" w:rsidR="00724757" w:rsidRDefault="00724757"/>
    <w:sectPr w:rsidR="00724757" w:rsidSect="001B7282">
      <w:headerReference w:type="default" r:id="rId7"/>
      <w:footerReference w:type="default" r:id="rId8"/>
      <w:pgSz w:w="11906" w:h="16838"/>
      <w:pgMar w:top="1304" w:right="1134" w:bottom="1134"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87A1C" w14:textId="77777777" w:rsidR="00DF2A91" w:rsidRDefault="00DF2A91" w:rsidP="006A3E25">
      <w:pPr>
        <w:spacing w:before="0" w:after="0"/>
      </w:pPr>
      <w:r>
        <w:separator/>
      </w:r>
    </w:p>
  </w:endnote>
  <w:endnote w:type="continuationSeparator" w:id="0">
    <w:p w14:paraId="3B34242F" w14:textId="77777777" w:rsidR="00DF2A91" w:rsidRDefault="00DF2A91" w:rsidP="006A3E2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6342"/>
      <w:gridCol w:w="3172"/>
    </w:tblGrid>
    <w:tr w:rsidR="00F801EC" w14:paraId="2B418520" w14:textId="77777777" w:rsidTr="00AA016A">
      <w:tc>
        <w:tcPr>
          <w:tcW w:w="6342" w:type="dxa"/>
        </w:tcPr>
        <w:p w14:paraId="33B045FC" w14:textId="0EC3C9B3" w:rsidR="00F801EC" w:rsidRDefault="00AD4361">
          <w:pPr>
            <w:pStyle w:val="Footer"/>
            <w:rPr>
              <w:rFonts w:ascii="Arial Narrow" w:hAnsi="Arial Narrow"/>
              <w:b/>
            </w:rPr>
          </w:pPr>
          <w:r>
            <w:rPr>
              <w:rFonts w:ascii="Arial Narrow" w:hAnsi="Arial Narrow"/>
              <w:b/>
            </w:rPr>
            <w:t>Edexcel</w:t>
          </w:r>
          <w:r w:rsidR="00F801EC" w:rsidRPr="00F801EC">
            <w:rPr>
              <w:rFonts w:ascii="Arial Narrow" w:hAnsi="Arial Narrow"/>
              <w:b/>
            </w:rPr>
            <w:t xml:space="preserve"> A Level Business Calculation Practice Sheets</w:t>
          </w:r>
          <w:r w:rsidR="009027F3">
            <w:rPr>
              <w:rFonts w:ascii="Arial Narrow" w:hAnsi="Arial Narrow"/>
              <w:b/>
            </w:rPr>
            <w:t xml:space="preserve"> (Year 2</w:t>
          </w:r>
          <w:r w:rsidR="0006035D">
            <w:rPr>
              <w:rFonts w:ascii="Arial Narrow" w:hAnsi="Arial Narrow"/>
              <w:b/>
            </w:rPr>
            <w:t>)</w:t>
          </w:r>
        </w:p>
        <w:p w14:paraId="0C79B176" w14:textId="77777777" w:rsidR="00F801EC" w:rsidRPr="00F801EC" w:rsidRDefault="00F801EC">
          <w:pPr>
            <w:pStyle w:val="Footer"/>
            <w:rPr>
              <w:rFonts w:ascii="Arial Narrow" w:hAnsi="Arial Narrow"/>
              <w:i/>
            </w:rPr>
          </w:pPr>
          <w:r w:rsidRPr="00F801EC">
            <w:rPr>
              <w:rFonts w:ascii="Arial Narrow" w:hAnsi="Arial Narrow"/>
              <w:i/>
            </w:rPr>
            <w:t>Remember – always show your workings!</w:t>
          </w:r>
        </w:p>
      </w:tc>
      <w:tc>
        <w:tcPr>
          <w:tcW w:w="3172" w:type="dxa"/>
        </w:tcPr>
        <w:p w14:paraId="3399B856" w14:textId="39AD37F3" w:rsidR="00F801EC" w:rsidRPr="00360A5E" w:rsidRDefault="00F801EC" w:rsidP="009A120F">
          <w:pPr>
            <w:pStyle w:val="Footer"/>
            <w:jc w:val="right"/>
            <w:rPr>
              <w:rFonts w:ascii="Arial Narrow" w:hAnsi="Arial Narrow"/>
            </w:rPr>
          </w:pPr>
          <w:r w:rsidRPr="00360A5E">
            <w:rPr>
              <w:rFonts w:ascii="Arial Narrow" w:hAnsi="Arial Narrow"/>
            </w:rPr>
            <w:t>© Tutor2u Limited 201</w:t>
          </w:r>
          <w:r w:rsidR="00412F82">
            <w:rPr>
              <w:rFonts w:ascii="Arial Narrow" w:hAnsi="Arial Narrow"/>
            </w:rPr>
            <w:t>6</w:t>
          </w:r>
          <w:r>
            <w:rPr>
              <w:rFonts w:ascii="Arial Narrow" w:hAnsi="Arial Narrow"/>
            </w:rPr>
            <w:t xml:space="preserve">  </w:t>
          </w:r>
          <w:hyperlink r:id="rId1" w:history="1">
            <w:r w:rsidRPr="00360A5E">
              <w:rPr>
                <w:rStyle w:val="Hyperlink"/>
                <w:rFonts w:ascii="Arial Narrow" w:hAnsi="Arial Narrow"/>
              </w:rPr>
              <w:t>www.tutor2u.net</w:t>
            </w:r>
          </w:hyperlink>
        </w:p>
      </w:tc>
    </w:tr>
  </w:tbl>
  <w:p w14:paraId="0B9CD3DA" w14:textId="77777777" w:rsidR="009A120F" w:rsidRDefault="009A1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1B7FC" w14:textId="77777777" w:rsidR="00DF2A91" w:rsidRDefault="00DF2A91" w:rsidP="006A3E25">
      <w:pPr>
        <w:spacing w:before="0" w:after="0"/>
      </w:pPr>
      <w:r>
        <w:separator/>
      </w:r>
    </w:p>
  </w:footnote>
  <w:footnote w:type="continuationSeparator" w:id="0">
    <w:p w14:paraId="77D6407B" w14:textId="77777777" w:rsidR="00DF2A91" w:rsidRDefault="00DF2A91" w:rsidP="006A3E2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09CC3" w14:textId="6F617E6F" w:rsidR="009A120F" w:rsidRPr="006A3E25" w:rsidRDefault="009A120F">
    <w:pPr>
      <w:pStyle w:val="Header"/>
      <w:rPr>
        <w:rFonts w:ascii="Arial Narrow" w:hAnsi="Arial Narrow"/>
        <w:b/>
        <w:sz w:val="24"/>
        <w:szCs w:val="24"/>
      </w:rPr>
    </w:pPr>
    <w:r>
      <w:rPr>
        <w:rFonts w:ascii="Arial Narrow" w:hAnsi="Arial Narrow"/>
        <w:b/>
        <w:sz w:val="24"/>
        <w:szCs w:val="24"/>
      </w:rPr>
      <w:t xml:space="preserve">Topic: </w:t>
    </w:r>
    <w:r w:rsidR="00314862">
      <w:rPr>
        <w:rFonts w:ascii="Arial Narrow" w:hAnsi="Arial Narrow"/>
        <w:b/>
        <w:sz w:val="24"/>
        <w:szCs w:val="24"/>
      </w:rPr>
      <w:t>Payback</w:t>
    </w:r>
    <w:r w:rsidR="00C27CAD">
      <w:rPr>
        <w:rFonts w:ascii="Arial Narrow" w:hAnsi="Arial Narrow"/>
        <w:b/>
        <w:sz w:val="24"/>
        <w:szCs w:val="24"/>
      </w:rPr>
      <w:t xml:space="preserve"> (1)</w:t>
    </w:r>
    <w:r w:rsidR="006446B1">
      <w:rPr>
        <w:rFonts w:ascii="Arial Narrow" w:hAnsi="Arial Narrow"/>
        <w:b/>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768C3"/>
    <w:multiLevelType w:val="multilevel"/>
    <w:tmpl w:val="C0389B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126825"/>
    <w:multiLevelType w:val="hybridMultilevel"/>
    <w:tmpl w:val="2CC04028"/>
    <w:lvl w:ilvl="0" w:tplc="6224553A">
      <w:numFmt w:val="bullet"/>
      <w:lvlText w:val="-"/>
      <w:lvlJc w:val="left"/>
      <w:pPr>
        <w:ind w:left="3480" w:hanging="360"/>
      </w:pPr>
      <w:rPr>
        <w:rFonts w:ascii="Calibri" w:eastAsiaTheme="minorHAnsi" w:hAnsi="Calibri" w:cstheme="minorBidi" w:hint="default"/>
      </w:rPr>
    </w:lvl>
    <w:lvl w:ilvl="1" w:tplc="08090003" w:tentative="1">
      <w:start w:val="1"/>
      <w:numFmt w:val="bullet"/>
      <w:lvlText w:val="o"/>
      <w:lvlJc w:val="left"/>
      <w:pPr>
        <w:ind w:left="4200" w:hanging="360"/>
      </w:pPr>
      <w:rPr>
        <w:rFonts w:ascii="Courier New" w:hAnsi="Courier New" w:cs="Courier New" w:hint="default"/>
      </w:rPr>
    </w:lvl>
    <w:lvl w:ilvl="2" w:tplc="08090005" w:tentative="1">
      <w:start w:val="1"/>
      <w:numFmt w:val="bullet"/>
      <w:lvlText w:val=""/>
      <w:lvlJc w:val="left"/>
      <w:pPr>
        <w:ind w:left="4920" w:hanging="360"/>
      </w:pPr>
      <w:rPr>
        <w:rFonts w:ascii="Wingdings" w:hAnsi="Wingdings" w:hint="default"/>
      </w:rPr>
    </w:lvl>
    <w:lvl w:ilvl="3" w:tplc="08090001" w:tentative="1">
      <w:start w:val="1"/>
      <w:numFmt w:val="bullet"/>
      <w:lvlText w:val=""/>
      <w:lvlJc w:val="left"/>
      <w:pPr>
        <w:ind w:left="5640" w:hanging="360"/>
      </w:pPr>
      <w:rPr>
        <w:rFonts w:ascii="Symbol" w:hAnsi="Symbol" w:hint="default"/>
      </w:rPr>
    </w:lvl>
    <w:lvl w:ilvl="4" w:tplc="08090003" w:tentative="1">
      <w:start w:val="1"/>
      <w:numFmt w:val="bullet"/>
      <w:lvlText w:val="o"/>
      <w:lvlJc w:val="left"/>
      <w:pPr>
        <w:ind w:left="6360" w:hanging="360"/>
      </w:pPr>
      <w:rPr>
        <w:rFonts w:ascii="Courier New" w:hAnsi="Courier New" w:cs="Courier New" w:hint="default"/>
      </w:rPr>
    </w:lvl>
    <w:lvl w:ilvl="5" w:tplc="08090005" w:tentative="1">
      <w:start w:val="1"/>
      <w:numFmt w:val="bullet"/>
      <w:lvlText w:val=""/>
      <w:lvlJc w:val="left"/>
      <w:pPr>
        <w:ind w:left="7080" w:hanging="360"/>
      </w:pPr>
      <w:rPr>
        <w:rFonts w:ascii="Wingdings" w:hAnsi="Wingdings" w:hint="default"/>
      </w:rPr>
    </w:lvl>
    <w:lvl w:ilvl="6" w:tplc="08090001" w:tentative="1">
      <w:start w:val="1"/>
      <w:numFmt w:val="bullet"/>
      <w:lvlText w:val=""/>
      <w:lvlJc w:val="left"/>
      <w:pPr>
        <w:ind w:left="7800" w:hanging="360"/>
      </w:pPr>
      <w:rPr>
        <w:rFonts w:ascii="Symbol" w:hAnsi="Symbol" w:hint="default"/>
      </w:rPr>
    </w:lvl>
    <w:lvl w:ilvl="7" w:tplc="08090003" w:tentative="1">
      <w:start w:val="1"/>
      <w:numFmt w:val="bullet"/>
      <w:lvlText w:val="o"/>
      <w:lvlJc w:val="left"/>
      <w:pPr>
        <w:ind w:left="8520" w:hanging="360"/>
      </w:pPr>
      <w:rPr>
        <w:rFonts w:ascii="Courier New" w:hAnsi="Courier New" w:cs="Courier New" w:hint="default"/>
      </w:rPr>
    </w:lvl>
    <w:lvl w:ilvl="8" w:tplc="08090005" w:tentative="1">
      <w:start w:val="1"/>
      <w:numFmt w:val="bullet"/>
      <w:lvlText w:val=""/>
      <w:lvlJc w:val="left"/>
      <w:pPr>
        <w:ind w:left="9240" w:hanging="360"/>
      </w:pPr>
      <w:rPr>
        <w:rFonts w:ascii="Wingdings" w:hAnsi="Wingdings" w:hint="default"/>
      </w:rPr>
    </w:lvl>
  </w:abstractNum>
  <w:abstractNum w:abstractNumId="2" w15:restartNumberingAfterBreak="0">
    <w:nsid w:val="1EA31933"/>
    <w:multiLevelType w:val="hybridMultilevel"/>
    <w:tmpl w:val="FA0E6C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A16824"/>
    <w:multiLevelType w:val="hybridMultilevel"/>
    <w:tmpl w:val="C2469C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EA73AA"/>
    <w:multiLevelType w:val="hybridMultilevel"/>
    <w:tmpl w:val="BD0E47D0"/>
    <w:lvl w:ilvl="0" w:tplc="D33634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942BC6"/>
    <w:multiLevelType w:val="multilevel"/>
    <w:tmpl w:val="2B40AD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E25"/>
    <w:rsid w:val="000176A4"/>
    <w:rsid w:val="00021158"/>
    <w:rsid w:val="00045079"/>
    <w:rsid w:val="00057846"/>
    <w:rsid w:val="0006035D"/>
    <w:rsid w:val="00081B9B"/>
    <w:rsid w:val="000A1552"/>
    <w:rsid w:val="000E0199"/>
    <w:rsid w:val="00127955"/>
    <w:rsid w:val="00146EE3"/>
    <w:rsid w:val="0016538B"/>
    <w:rsid w:val="0019202B"/>
    <w:rsid w:val="001A6C2B"/>
    <w:rsid w:val="001B7282"/>
    <w:rsid w:val="001D1708"/>
    <w:rsid w:val="0022194A"/>
    <w:rsid w:val="0022735F"/>
    <w:rsid w:val="0023225A"/>
    <w:rsid w:val="002556BF"/>
    <w:rsid w:val="002949AE"/>
    <w:rsid w:val="00297AEF"/>
    <w:rsid w:val="002B24BA"/>
    <w:rsid w:val="002D1EE7"/>
    <w:rsid w:val="002E4A24"/>
    <w:rsid w:val="00314862"/>
    <w:rsid w:val="00317C54"/>
    <w:rsid w:val="00351D83"/>
    <w:rsid w:val="00360964"/>
    <w:rsid w:val="00360A5E"/>
    <w:rsid w:val="00363CDA"/>
    <w:rsid w:val="0036663F"/>
    <w:rsid w:val="003934D0"/>
    <w:rsid w:val="003D09B6"/>
    <w:rsid w:val="003D71D8"/>
    <w:rsid w:val="00412F82"/>
    <w:rsid w:val="00454E5A"/>
    <w:rsid w:val="00485BDE"/>
    <w:rsid w:val="004A60D4"/>
    <w:rsid w:val="004C1F9A"/>
    <w:rsid w:val="004D15AC"/>
    <w:rsid w:val="004E4DBF"/>
    <w:rsid w:val="00513974"/>
    <w:rsid w:val="0053130F"/>
    <w:rsid w:val="0054707D"/>
    <w:rsid w:val="0056162D"/>
    <w:rsid w:val="00562A1E"/>
    <w:rsid w:val="00564508"/>
    <w:rsid w:val="005C2C3F"/>
    <w:rsid w:val="005C3C99"/>
    <w:rsid w:val="005D0B15"/>
    <w:rsid w:val="005D542D"/>
    <w:rsid w:val="005F0C5E"/>
    <w:rsid w:val="00605322"/>
    <w:rsid w:val="006139B0"/>
    <w:rsid w:val="006401DA"/>
    <w:rsid w:val="006446B1"/>
    <w:rsid w:val="00667629"/>
    <w:rsid w:val="0067409F"/>
    <w:rsid w:val="00676B17"/>
    <w:rsid w:val="00690BAE"/>
    <w:rsid w:val="006A3E25"/>
    <w:rsid w:val="006B1E37"/>
    <w:rsid w:val="006D2F76"/>
    <w:rsid w:val="006D58DC"/>
    <w:rsid w:val="006F42AC"/>
    <w:rsid w:val="006F73CF"/>
    <w:rsid w:val="0072414B"/>
    <w:rsid w:val="00724757"/>
    <w:rsid w:val="00745D38"/>
    <w:rsid w:val="00750CC7"/>
    <w:rsid w:val="0077294A"/>
    <w:rsid w:val="007B5784"/>
    <w:rsid w:val="007E7FAF"/>
    <w:rsid w:val="007F222E"/>
    <w:rsid w:val="00814A27"/>
    <w:rsid w:val="0082590F"/>
    <w:rsid w:val="00854606"/>
    <w:rsid w:val="00864A05"/>
    <w:rsid w:val="00866105"/>
    <w:rsid w:val="00874DAF"/>
    <w:rsid w:val="00895CF4"/>
    <w:rsid w:val="008D2409"/>
    <w:rsid w:val="009027F3"/>
    <w:rsid w:val="009263E5"/>
    <w:rsid w:val="00934324"/>
    <w:rsid w:val="00985C26"/>
    <w:rsid w:val="009A120F"/>
    <w:rsid w:val="009B3AD0"/>
    <w:rsid w:val="009B402B"/>
    <w:rsid w:val="009D3F33"/>
    <w:rsid w:val="00A07AB9"/>
    <w:rsid w:val="00A4558A"/>
    <w:rsid w:val="00A5374C"/>
    <w:rsid w:val="00A7311D"/>
    <w:rsid w:val="00A74FBF"/>
    <w:rsid w:val="00AA56DB"/>
    <w:rsid w:val="00AD4361"/>
    <w:rsid w:val="00B06E0C"/>
    <w:rsid w:val="00B12697"/>
    <w:rsid w:val="00B60D89"/>
    <w:rsid w:val="00B83753"/>
    <w:rsid w:val="00B83945"/>
    <w:rsid w:val="00B9035F"/>
    <w:rsid w:val="00B967D4"/>
    <w:rsid w:val="00BA16AB"/>
    <w:rsid w:val="00BA7C9A"/>
    <w:rsid w:val="00C07EBE"/>
    <w:rsid w:val="00C27C07"/>
    <w:rsid w:val="00C27CAD"/>
    <w:rsid w:val="00C27E5A"/>
    <w:rsid w:val="00C70D56"/>
    <w:rsid w:val="00C72A6B"/>
    <w:rsid w:val="00C741FC"/>
    <w:rsid w:val="00CB6499"/>
    <w:rsid w:val="00CC00F3"/>
    <w:rsid w:val="00CC293B"/>
    <w:rsid w:val="00CD0E6D"/>
    <w:rsid w:val="00CE16C0"/>
    <w:rsid w:val="00CE1C93"/>
    <w:rsid w:val="00D02043"/>
    <w:rsid w:val="00D0516B"/>
    <w:rsid w:val="00D5536F"/>
    <w:rsid w:val="00D84BD7"/>
    <w:rsid w:val="00DB75E2"/>
    <w:rsid w:val="00DE6CFF"/>
    <w:rsid w:val="00DF2A91"/>
    <w:rsid w:val="00E02525"/>
    <w:rsid w:val="00E23139"/>
    <w:rsid w:val="00E252AC"/>
    <w:rsid w:val="00E36908"/>
    <w:rsid w:val="00E77ABD"/>
    <w:rsid w:val="00EA5DDC"/>
    <w:rsid w:val="00EF02CF"/>
    <w:rsid w:val="00F05FC7"/>
    <w:rsid w:val="00F26729"/>
    <w:rsid w:val="00F76962"/>
    <w:rsid w:val="00F801EC"/>
    <w:rsid w:val="00FE57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BEBA5F"/>
  <w15:docId w15:val="{038DB1F6-94C6-49E5-B2E2-D32F758F0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37"/>
    <w:pPr>
      <w:spacing w:before="120" w:after="120" w:line="240" w:lineRule="auto"/>
    </w:pPr>
    <w:rPr>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E25"/>
    <w:pPr>
      <w:tabs>
        <w:tab w:val="center" w:pos="4513"/>
        <w:tab w:val="right" w:pos="9026"/>
      </w:tabs>
      <w:spacing w:after="0"/>
    </w:pPr>
  </w:style>
  <w:style w:type="character" w:customStyle="1" w:styleId="HeaderChar">
    <w:name w:val="Header Char"/>
    <w:basedOn w:val="DefaultParagraphFont"/>
    <w:link w:val="Header"/>
    <w:uiPriority w:val="99"/>
    <w:rsid w:val="006A3E25"/>
  </w:style>
  <w:style w:type="paragraph" w:styleId="Footer">
    <w:name w:val="footer"/>
    <w:basedOn w:val="Normal"/>
    <w:link w:val="FooterChar"/>
    <w:uiPriority w:val="99"/>
    <w:unhideWhenUsed/>
    <w:rsid w:val="006A3E25"/>
    <w:pPr>
      <w:tabs>
        <w:tab w:val="center" w:pos="4513"/>
        <w:tab w:val="right" w:pos="9026"/>
      </w:tabs>
      <w:spacing w:after="0"/>
    </w:pPr>
  </w:style>
  <w:style w:type="character" w:customStyle="1" w:styleId="FooterChar">
    <w:name w:val="Footer Char"/>
    <w:basedOn w:val="DefaultParagraphFont"/>
    <w:link w:val="Footer"/>
    <w:uiPriority w:val="99"/>
    <w:rsid w:val="006A3E25"/>
  </w:style>
  <w:style w:type="table" w:styleId="TableGrid">
    <w:name w:val="Table Grid"/>
    <w:basedOn w:val="TableNormal"/>
    <w:uiPriority w:val="59"/>
    <w:rsid w:val="006B1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7E5A"/>
    <w:pPr>
      <w:ind w:left="720"/>
      <w:contextualSpacing/>
    </w:pPr>
  </w:style>
  <w:style w:type="character" w:styleId="Hyperlink">
    <w:name w:val="Hyperlink"/>
    <w:basedOn w:val="DefaultParagraphFont"/>
    <w:uiPriority w:val="99"/>
    <w:unhideWhenUsed/>
    <w:rsid w:val="00360A5E"/>
    <w:rPr>
      <w:color w:val="0000FF" w:themeColor="hyperlink"/>
      <w:u w:val="single"/>
    </w:rPr>
  </w:style>
  <w:style w:type="table" w:styleId="LightList">
    <w:name w:val="Light List"/>
    <w:basedOn w:val="TableNormal"/>
    <w:uiPriority w:val="61"/>
    <w:rsid w:val="00F801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58257">
      <w:bodyDiv w:val="1"/>
      <w:marLeft w:val="0"/>
      <w:marRight w:val="0"/>
      <w:marTop w:val="0"/>
      <w:marBottom w:val="0"/>
      <w:divBdr>
        <w:top w:val="none" w:sz="0" w:space="0" w:color="auto"/>
        <w:left w:val="none" w:sz="0" w:space="0" w:color="auto"/>
        <w:bottom w:val="none" w:sz="0" w:space="0" w:color="auto"/>
        <w:right w:val="none" w:sz="0" w:space="0" w:color="auto"/>
      </w:divBdr>
      <w:divsChild>
        <w:div w:id="558130485">
          <w:marLeft w:val="0"/>
          <w:marRight w:val="0"/>
          <w:marTop w:val="0"/>
          <w:marBottom w:val="0"/>
          <w:divBdr>
            <w:top w:val="none" w:sz="0" w:space="0" w:color="auto"/>
            <w:left w:val="none" w:sz="0" w:space="0" w:color="auto"/>
            <w:bottom w:val="none" w:sz="0" w:space="0" w:color="auto"/>
            <w:right w:val="none" w:sz="0" w:space="0" w:color="auto"/>
          </w:divBdr>
          <w:divsChild>
            <w:div w:id="65223078">
              <w:marLeft w:val="0"/>
              <w:marRight w:val="0"/>
              <w:marTop w:val="0"/>
              <w:marBottom w:val="0"/>
              <w:divBdr>
                <w:top w:val="none" w:sz="0" w:space="0" w:color="auto"/>
                <w:left w:val="none" w:sz="0" w:space="0" w:color="auto"/>
                <w:bottom w:val="none" w:sz="0" w:space="0" w:color="auto"/>
                <w:right w:val="none" w:sz="0" w:space="0" w:color="auto"/>
              </w:divBdr>
            </w:div>
            <w:div w:id="864177198">
              <w:marLeft w:val="0"/>
              <w:marRight w:val="0"/>
              <w:marTop w:val="0"/>
              <w:marBottom w:val="0"/>
              <w:divBdr>
                <w:top w:val="none" w:sz="0" w:space="0" w:color="auto"/>
                <w:left w:val="none" w:sz="0" w:space="0" w:color="auto"/>
                <w:bottom w:val="none" w:sz="0" w:space="0" w:color="auto"/>
                <w:right w:val="none" w:sz="0" w:space="0" w:color="auto"/>
              </w:divBdr>
            </w:div>
            <w:div w:id="626279768">
              <w:marLeft w:val="0"/>
              <w:marRight w:val="0"/>
              <w:marTop w:val="0"/>
              <w:marBottom w:val="0"/>
              <w:divBdr>
                <w:top w:val="none" w:sz="0" w:space="0" w:color="auto"/>
                <w:left w:val="none" w:sz="0" w:space="0" w:color="auto"/>
                <w:bottom w:val="none" w:sz="0" w:space="0" w:color="auto"/>
                <w:right w:val="none" w:sz="0" w:space="0" w:color="auto"/>
              </w:divBdr>
            </w:div>
            <w:div w:id="1840198137">
              <w:marLeft w:val="0"/>
              <w:marRight w:val="0"/>
              <w:marTop w:val="0"/>
              <w:marBottom w:val="0"/>
              <w:divBdr>
                <w:top w:val="none" w:sz="0" w:space="0" w:color="auto"/>
                <w:left w:val="none" w:sz="0" w:space="0" w:color="auto"/>
                <w:bottom w:val="none" w:sz="0" w:space="0" w:color="auto"/>
                <w:right w:val="none" w:sz="0" w:space="0" w:color="auto"/>
              </w:divBdr>
            </w:div>
            <w:div w:id="762722996">
              <w:marLeft w:val="0"/>
              <w:marRight w:val="0"/>
              <w:marTop w:val="0"/>
              <w:marBottom w:val="0"/>
              <w:divBdr>
                <w:top w:val="none" w:sz="0" w:space="0" w:color="auto"/>
                <w:left w:val="none" w:sz="0" w:space="0" w:color="auto"/>
                <w:bottom w:val="none" w:sz="0" w:space="0" w:color="auto"/>
                <w:right w:val="none" w:sz="0" w:space="0" w:color="auto"/>
              </w:divBdr>
            </w:div>
            <w:div w:id="907150954">
              <w:marLeft w:val="0"/>
              <w:marRight w:val="0"/>
              <w:marTop w:val="0"/>
              <w:marBottom w:val="0"/>
              <w:divBdr>
                <w:top w:val="none" w:sz="0" w:space="0" w:color="auto"/>
                <w:left w:val="none" w:sz="0" w:space="0" w:color="auto"/>
                <w:bottom w:val="none" w:sz="0" w:space="0" w:color="auto"/>
                <w:right w:val="none" w:sz="0" w:space="0" w:color="auto"/>
              </w:divBdr>
            </w:div>
            <w:div w:id="215167224">
              <w:marLeft w:val="0"/>
              <w:marRight w:val="0"/>
              <w:marTop w:val="0"/>
              <w:marBottom w:val="0"/>
              <w:divBdr>
                <w:top w:val="none" w:sz="0" w:space="0" w:color="auto"/>
                <w:left w:val="none" w:sz="0" w:space="0" w:color="auto"/>
                <w:bottom w:val="none" w:sz="0" w:space="0" w:color="auto"/>
                <w:right w:val="none" w:sz="0" w:space="0" w:color="auto"/>
              </w:divBdr>
            </w:div>
            <w:div w:id="741870683">
              <w:marLeft w:val="0"/>
              <w:marRight w:val="0"/>
              <w:marTop w:val="0"/>
              <w:marBottom w:val="0"/>
              <w:divBdr>
                <w:top w:val="none" w:sz="0" w:space="0" w:color="auto"/>
                <w:left w:val="none" w:sz="0" w:space="0" w:color="auto"/>
                <w:bottom w:val="none" w:sz="0" w:space="0" w:color="auto"/>
                <w:right w:val="none" w:sz="0" w:space="0" w:color="auto"/>
              </w:divBdr>
            </w:div>
            <w:div w:id="276565866">
              <w:marLeft w:val="0"/>
              <w:marRight w:val="0"/>
              <w:marTop w:val="0"/>
              <w:marBottom w:val="0"/>
              <w:divBdr>
                <w:top w:val="none" w:sz="0" w:space="0" w:color="auto"/>
                <w:left w:val="none" w:sz="0" w:space="0" w:color="auto"/>
                <w:bottom w:val="none" w:sz="0" w:space="0" w:color="auto"/>
                <w:right w:val="none" w:sz="0" w:space="0" w:color="auto"/>
              </w:divBdr>
            </w:div>
            <w:div w:id="1583488470">
              <w:marLeft w:val="0"/>
              <w:marRight w:val="0"/>
              <w:marTop w:val="0"/>
              <w:marBottom w:val="0"/>
              <w:divBdr>
                <w:top w:val="none" w:sz="0" w:space="0" w:color="auto"/>
                <w:left w:val="none" w:sz="0" w:space="0" w:color="auto"/>
                <w:bottom w:val="none" w:sz="0" w:space="0" w:color="auto"/>
                <w:right w:val="none" w:sz="0" w:space="0" w:color="auto"/>
              </w:divBdr>
            </w:div>
            <w:div w:id="990135963">
              <w:marLeft w:val="0"/>
              <w:marRight w:val="0"/>
              <w:marTop w:val="0"/>
              <w:marBottom w:val="0"/>
              <w:divBdr>
                <w:top w:val="none" w:sz="0" w:space="0" w:color="auto"/>
                <w:left w:val="none" w:sz="0" w:space="0" w:color="auto"/>
                <w:bottom w:val="none" w:sz="0" w:space="0" w:color="auto"/>
                <w:right w:val="none" w:sz="0" w:space="0" w:color="auto"/>
              </w:divBdr>
            </w:div>
            <w:div w:id="890582256">
              <w:marLeft w:val="0"/>
              <w:marRight w:val="0"/>
              <w:marTop w:val="0"/>
              <w:marBottom w:val="0"/>
              <w:divBdr>
                <w:top w:val="none" w:sz="0" w:space="0" w:color="auto"/>
                <w:left w:val="none" w:sz="0" w:space="0" w:color="auto"/>
                <w:bottom w:val="none" w:sz="0" w:space="0" w:color="auto"/>
                <w:right w:val="none" w:sz="0" w:space="0" w:color="auto"/>
              </w:divBdr>
            </w:div>
            <w:div w:id="1867594066">
              <w:marLeft w:val="0"/>
              <w:marRight w:val="0"/>
              <w:marTop w:val="0"/>
              <w:marBottom w:val="0"/>
              <w:divBdr>
                <w:top w:val="none" w:sz="0" w:space="0" w:color="auto"/>
                <w:left w:val="none" w:sz="0" w:space="0" w:color="auto"/>
                <w:bottom w:val="none" w:sz="0" w:space="0" w:color="auto"/>
                <w:right w:val="none" w:sz="0" w:space="0" w:color="auto"/>
              </w:divBdr>
            </w:div>
            <w:div w:id="455372016">
              <w:marLeft w:val="0"/>
              <w:marRight w:val="0"/>
              <w:marTop w:val="0"/>
              <w:marBottom w:val="0"/>
              <w:divBdr>
                <w:top w:val="none" w:sz="0" w:space="0" w:color="auto"/>
                <w:left w:val="none" w:sz="0" w:space="0" w:color="auto"/>
                <w:bottom w:val="none" w:sz="0" w:space="0" w:color="auto"/>
                <w:right w:val="none" w:sz="0" w:space="0" w:color="auto"/>
              </w:divBdr>
            </w:div>
            <w:div w:id="1322461261">
              <w:marLeft w:val="0"/>
              <w:marRight w:val="0"/>
              <w:marTop w:val="0"/>
              <w:marBottom w:val="0"/>
              <w:divBdr>
                <w:top w:val="none" w:sz="0" w:space="0" w:color="auto"/>
                <w:left w:val="none" w:sz="0" w:space="0" w:color="auto"/>
                <w:bottom w:val="none" w:sz="0" w:space="0" w:color="auto"/>
                <w:right w:val="none" w:sz="0" w:space="0" w:color="auto"/>
              </w:divBdr>
            </w:div>
            <w:div w:id="663437710">
              <w:marLeft w:val="0"/>
              <w:marRight w:val="0"/>
              <w:marTop w:val="0"/>
              <w:marBottom w:val="0"/>
              <w:divBdr>
                <w:top w:val="none" w:sz="0" w:space="0" w:color="auto"/>
                <w:left w:val="none" w:sz="0" w:space="0" w:color="auto"/>
                <w:bottom w:val="none" w:sz="0" w:space="0" w:color="auto"/>
                <w:right w:val="none" w:sz="0" w:space="0" w:color="auto"/>
              </w:divBdr>
            </w:div>
            <w:div w:id="2015379049">
              <w:marLeft w:val="0"/>
              <w:marRight w:val="0"/>
              <w:marTop w:val="0"/>
              <w:marBottom w:val="0"/>
              <w:divBdr>
                <w:top w:val="none" w:sz="0" w:space="0" w:color="auto"/>
                <w:left w:val="none" w:sz="0" w:space="0" w:color="auto"/>
                <w:bottom w:val="none" w:sz="0" w:space="0" w:color="auto"/>
                <w:right w:val="none" w:sz="0" w:space="0" w:color="auto"/>
              </w:divBdr>
            </w:div>
            <w:div w:id="1537355274">
              <w:marLeft w:val="0"/>
              <w:marRight w:val="0"/>
              <w:marTop w:val="0"/>
              <w:marBottom w:val="0"/>
              <w:divBdr>
                <w:top w:val="none" w:sz="0" w:space="0" w:color="auto"/>
                <w:left w:val="none" w:sz="0" w:space="0" w:color="auto"/>
                <w:bottom w:val="none" w:sz="0" w:space="0" w:color="auto"/>
                <w:right w:val="none" w:sz="0" w:space="0" w:color="auto"/>
              </w:divBdr>
            </w:div>
            <w:div w:id="1360281007">
              <w:marLeft w:val="0"/>
              <w:marRight w:val="0"/>
              <w:marTop w:val="0"/>
              <w:marBottom w:val="0"/>
              <w:divBdr>
                <w:top w:val="none" w:sz="0" w:space="0" w:color="auto"/>
                <w:left w:val="none" w:sz="0" w:space="0" w:color="auto"/>
                <w:bottom w:val="none" w:sz="0" w:space="0" w:color="auto"/>
                <w:right w:val="none" w:sz="0" w:space="0" w:color="auto"/>
              </w:divBdr>
            </w:div>
            <w:div w:id="179783207">
              <w:marLeft w:val="0"/>
              <w:marRight w:val="0"/>
              <w:marTop w:val="0"/>
              <w:marBottom w:val="0"/>
              <w:divBdr>
                <w:top w:val="none" w:sz="0" w:space="0" w:color="auto"/>
                <w:left w:val="none" w:sz="0" w:space="0" w:color="auto"/>
                <w:bottom w:val="none" w:sz="0" w:space="0" w:color="auto"/>
                <w:right w:val="none" w:sz="0" w:space="0" w:color="auto"/>
              </w:divBdr>
            </w:div>
            <w:div w:id="1479691201">
              <w:marLeft w:val="0"/>
              <w:marRight w:val="0"/>
              <w:marTop w:val="0"/>
              <w:marBottom w:val="0"/>
              <w:divBdr>
                <w:top w:val="none" w:sz="0" w:space="0" w:color="auto"/>
                <w:left w:val="none" w:sz="0" w:space="0" w:color="auto"/>
                <w:bottom w:val="none" w:sz="0" w:space="0" w:color="auto"/>
                <w:right w:val="none" w:sz="0" w:space="0" w:color="auto"/>
              </w:divBdr>
            </w:div>
            <w:div w:id="1195314569">
              <w:marLeft w:val="0"/>
              <w:marRight w:val="0"/>
              <w:marTop w:val="0"/>
              <w:marBottom w:val="0"/>
              <w:divBdr>
                <w:top w:val="none" w:sz="0" w:space="0" w:color="auto"/>
                <w:left w:val="none" w:sz="0" w:space="0" w:color="auto"/>
                <w:bottom w:val="none" w:sz="0" w:space="0" w:color="auto"/>
                <w:right w:val="none" w:sz="0" w:space="0" w:color="auto"/>
              </w:divBdr>
            </w:div>
            <w:div w:id="1415470817">
              <w:marLeft w:val="0"/>
              <w:marRight w:val="0"/>
              <w:marTop w:val="0"/>
              <w:marBottom w:val="0"/>
              <w:divBdr>
                <w:top w:val="none" w:sz="0" w:space="0" w:color="auto"/>
                <w:left w:val="none" w:sz="0" w:space="0" w:color="auto"/>
                <w:bottom w:val="none" w:sz="0" w:space="0" w:color="auto"/>
                <w:right w:val="none" w:sz="0" w:space="0" w:color="auto"/>
              </w:divBdr>
            </w:div>
            <w:div w:id="16004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1236">
      <w:bodyDiv w:val="1"/>
      <w:marLeft w:val="0"/>
      <w:marRight w:val="0"/>
      <w:marTop w:val="0"/>
      <w:marBottom w:val="0"/>
      <w:divBdr>
        <w:top w:val="none" w:sz="0" w:space="0" w:color="auto"/>
        <w:left w:val="none" w:sz="0" w:space="0" w:color="auto"/>
        <w:bottom w:val="none" w:sz="0" w:space="0" w:color="auto"/>
        <w:right w:val="none" w:sz="0" w:space="0" w:color="auto"/>
      </w:divBdr>
    </w:div>
    <w:div w:id="2018606929">
      <w:bodyDiv w:val="1"/>
      <w:marLeft w:val="0"/>
      <w:marRight w:val="0"/>
      <w:marTop w:val="0"/>
      <w:marBottom w:val="0"/>
      <w:divBdr>
        <w:top w:val="none" w:sz="0" w:space="0" w:color="auto"/>
        <w:left w:val="none" w:sz="0" w:space="0" w:color="auto"/>
        <w:bottom w:val="none" w:sz="0" w:space="0" w:color="auto"/>
        <w:right w:val="none" w:sz="0" w:space="0" w:color="auto"/>
      </w:divBdr>
    </w:div>
    <w:div w:id="213208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utor2u.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Worksheet Template Example</vt:lpstr>
    </vt:vector>
  </TitlesOfParts>
  <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Template Example</dc:title>
  <dc:creator>jim-samsung</dc:creator>
  <cp:lastModifiedBy>Susan Morris</cp:lastModifiedBy>
  <cp:revision>11</cp:revision>
  <dcterms:created xsi:type="dcterms:W3CDTF">2016-01-20T05:04:00Z</dcterms:created>
  <dcterms:modified xsi:type="dcterms:W3CDTF">2016-07-13T10:04:00Z</dcterms:modified>
</cp:coreProperties>
</file>